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0B8" w:rsidRPr="009F52D8" w:rsidRDefault="000D67D3" w:rsidP="009F52D8">
      <w:pPr>
        <w:spacing w:line="260" w:lineRule="atLeast"/>
        <w:jc w:val="right"/>
        <w:rPr>
          <w:i/>
        </w:rPr>
      </w:pPr>
      <w:bookmarkStart w:id="0" w:name="_GoBack"/>
      <w:bookmarkEnd w:id="0"/>
      <w:r>
        <w:rPr>
          <w:i/>
          <w:noProof/>
          <w:lang w:eastAsia="el-GR"/>
        </w:rPr>
        <w:drawing>
          <wp:anchor distT="0" distB="0" distL="114300" distR="114300" simplePos="0" relativeHeight="251657728" behindDoc="0" locked="0" layoutInCell="1" allowOverlap="1">
            <wp:simplePos x="0" y="0"/>
            <wp:positionH relativeFrom="column">
              <wp:posOffset>-342900</wp:posOffset>
            </wp:positionH>
            <wp:positionV relativeFrom="paragraph">
              <wp:posOffset>-342900</wp:posOffset>
            </wp:positionV>
            <wp:extent cx="1943100" cy="752475"/>
            <wp:effectExtent l="0" t="0" r="0" b="0"/>
            <wp:wrapNone/>
            <wp:docPr id="2" name="Picture 2" descr="eurobank-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bank-logo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6E8A" w:rsidRPr="009F52D8" w:rsidRDefault="008F6E8A" w:rsidP="009F52D8">
      <w:pPr>
        <w:spacing w:line="260" w:lineRule="atLeast"/>
        <w:jc w:val="right"/>
        <w:rPr>
          <w:i/>
        </w:rPr>
      </w:pPr>
    </w:p>
    <w:p w:rsidR="008F6E8A" w:rsidRPr="009F52D8" w:rsidRDefault="008F6E8A" w:rsidP="009F52D8">
      <w:pPr>
        <w:spacing w:line="260" w:lineRule="atLeast"/>
        <w:jc w:val="right"/>
        <w:rPr>
          <w:i/>
        </w:rPr>
      </w:pPr>
    </w:p>
    <w:p w:rsidR="00D57A79" w:rsidRPr="00FA520A" w:rsidRDefault="00D86B47" w:rsidP="007E4A3A">
      <w:pPr>
        <w:spacing w:line="260" w:lineRule="atLeast"/>
        <w:jc w:val="right"/>
        <w:rPr>
          <w:sz w:val="20"/>
          <w:szCs w:val="20"/>
          <w:lang w:val="en-US"/>
        </w:rPr>
      </w:pPr>
      <w:r>
        <w:rPr>
          <w:sz w:val="20"/>
          <w:szCs w:val="20"/>
        </w:rPr>
        <w:t>Αθήνα</w:t>
      </w:r>
      <w:r w:rsidRPr="00E0394E">
        <w:rPr>
          <w:sz w:val="20"/>
          <w:szCs w:val="20"/>
          <w:lang w:val="en-US"/>
        </w:rPr>
        <w:t xml:space="preserve">, </w:t>
      </w:r>
      <w:r w:rsidR="00E0394E">
        <w:rPr>
          <w:sz w:val="20"/>
          <w:szCs w:val="20"/>
          <w:lang w:val="en-US"/>
        </w:rPr>
        <w:t>1</w:t>
      </w:r>
      <w:r w:rsidR="00E0394E" w:rsidRPr="00E0394E">
        <w:rPr>
          <w:sz w:val="20"/>
          <w:szCs w:val="20"/>
          <w:vertAlign w:val="superscript"/>
        </w:rPr>
        <w:t>η</w:t>
      </w:r>
      <w:r w:rsidR="00E0394E">
        <w:rPr>
          <w:sz w:val="20"/>
          <w:szCs w:val="20"/>
          <w:lang w:val="en-US"/>
        </w:rPr>
        <w:t xml:space="preserve"> </w:t>
      </w:r>
      <w:r w:rsidR="00E0394E">
        <w:rPr>
          <w:sz w:val="20"/>
          <w:szCs w:val="20"/>
        </w:rPr>
        <w:t>Αυγούστου</w:t>
      </w:r>
      <w:r w:rsidR="00E0394E" w:rsidRPr="00E0394E">
        <w:rPr>
          <w:sz w:val="20"/>
          <w:szCs w:val="20"/>
          <w:lang w:val="en-US"/>
        </w:rPr>
        <w:t>,</w:t>
      </w:r>
      <w:r w:rsidR="00C93650" w:rsidRPr="00E0394E">
        <w:rPr>
          <w:sz w:val="20"/>
          <w:szCs w:val="20"/>
          <w:lang w:val="en-US"/>
        </w:rPr>
        <w:t xml:space="preserve"> </w:t>
      </w:r>
      <w:r w:rsidR="00E0394E" w:rsidRPr="00E0394E">
        <w:rPr>
          <w:sz w:val="20"/>
          <w:szCs w:val="20"/>
          <w:lang w:val="en-US"/>
        </w:rPr>
        <w:t>2016</w:t>
      </w:r>
      <w:r w:rsidR="009B40B8" w:rsidRPr="00E0394E">
        <w:rPr>
          <w:sz w:val="20"/>
          <w:szCs w:val="20"/>
          <w:lang w:val="en-US"/>
        </w:rPr>
        <w:t xml:space="preserve"> </w:t>
      </w:r>
    </w:p>
    <w:p w:rsidR="00C93650" w:rsidRPr="00E0394E" w:rsidRDefault="00C93650" w:rsidP="006C6E51">
      <w:pPr>
        <w:spacing w:line="260" w:lineRule="atLeast"/>
        <w:jc w:val="center"/>
        <w:rPr>
          <w:b/>
          <w:u w:val="single"/>
          <w:lang w:val="en-US"/>
        </w:rPr>
      </w:pPr>
    </w:p>
    <w:p w:rsidR="00E0394E" w:rsidRPr="00FA520A" w:rsidRDefault="00E0394E" w:rsidP="00E0394E">
      <w:pPr>
        <w:spacing w:line="260" w:lineRule="atLeast"/>
        <w:jc w:val="center"/>
        <w:rPr>
          <w:b/>
          <w:lang w:val="en-US"/>
        </w:rPr>
      </w:pPr>
      <w:r w:rsidRPr="00E0394E">
        <w:rPr>
          <w:b/>
          <w:lang w:val="en-US"/>
        </w:rPr>
        <w:t>Global Economic &amp; Market Outlook</w:t>
      </w:r>
    </w:p>
    <w:p w:rsidR="00E0394E" w:rsidRPr="00FA520A" w:rsidRDefault="00E0394E" w:rsidP="00E0394E">
      <w:pPr>
        <w:spacing w:line="260" w:lineRule="atLeast"/>
        <w:jc w:val="center"/>
        <w:rPr>
          <w:b/>
          <w:u w:val="single"/>
          <w:lang w:val="en-US"/>
        </w:rPr>
      </w:pPr>
    </w:p>
    <w:p w:rsidR="00E0394E" w:rsidRPr="00E0394E" w:rsidRDefault="00E0394E" w:rsidP="00E0394E">
      <w:pPr>
        <w:spacing w:line="260" w:lineRule="atLeast"/>
        <w:jc w:val="center"/>
        <w:rPr>
          <w:b/>
          <w:sz w:val="20"/>
          <w:szCs w:val="20"/>
        </w:rPr>
      </w:pPr>
      <w:r w:rsidRPr="00E0394E">
        <w:rPr>
          <w:b/>
          <w:sz w:val="20"/>
          <w:szCs w:val="20"/>
        </w:rPr>
        <w:t>Η ελληνική οικονομία ένα χρόνο μετά την επιβολή των περιορισμών στην κίνηση κεφαλαίων</w:t>
      </w:r>
    </w:p>
    <w:p w:rsidR="00E0394E" w:rsidRPr="00E0394E" w:rsidRDefault="00F131E6" w:rsidP="00E0394E">
      <w:pPr>
        <w:spacing w:line="260" w:lineRule="atLeast"/>
        <w:jc w:val="center"/>
        <w:rPr>
          <w:b/>
          <w:i/>
          <w:sz w:val="20"/>
          <w:szCs w:val="20"/>
        </w:rPr>
      </w:pPr>
      <w:r>
        <w:rPr>
          <w:b/>
          <w:i/>
          <w:sz w:val="20"/>
          <w:szCs w:val="20"/>
        </w:rPr>
        <w:t>Οι επιπτώσεις</w:t>
      </w:r>
      <w:r w:rsidR="00E0394E" w:rsidRPr="00E0394E">
        <w:rPr>
          <w:b/>
          <w:i/>
          <w:sz w:val="20"/>
          <w:szCs w:val="20"/>
        </w:rPr>
        <w:t xml:space="preserve"> στην πραγματική οικονομία και τα διδάγματα από την εμπειρία της Κύπρου</w:t>
      </w:r>
    </w:p>
    <w:p w:rsidR="00E0394E" w:rsidRPr="00E0394E" w:rsidRDefault="00E0394E" w:rsidP="00E0394E">
      <w:pPr>
        <w:spacing w:line="260" w:lineRule="atLeast"/>
        <w:jc w:val="center"/>
        <w:rPr>
          <w:b/>
          <w:sz w:val="20"/>
          <w:szCs w:val="20"/>
          <w:u w:val="single"/>
        </w:rPr>
      </w:pPr>
    </w:p>
    <w:p w:rsidR="00E0394E" w:rsidRPr="00E0394E" w:rsidRDefault="00E0394E" w:rsidP="00E0394E">
      <w:pPr>
        <w:spacing w:line="260" w:lineRule="atLeast"/>
        <w:jc w:val="center"/>
        <w:rPr>
          <w:b/>
          <w:sz w:val="20"/>
          <w:szCs w:val="20"/>
          <w:u w:val="single"/>
        </w:rPr>
      </w:pPr>
      <w:r w:rsidRPr="00E0394E">
        <w:rPr>
          <w:b/>
          <w:sz w:val="20"/>
          <w:szCs w:val="20"/>
          <w:u w:val="single"/>
        </w:rPr>
        <w:t xml:space="preserve">Περίληψη Μελέτης </w:t>
      </w:r>
    </w:p>
    <w:p w:rsidR="00E0394E" w:rsidRPr="00E0394E" w:rsidRDefault="00E0394E" w:rsidP="00E0394E">
      <w:pPr>
        <w:spacing w:line="260" w:lineRule="atLeast"/>
        <w:jc w:val="center"/>
        <w:rPr>
          <w:b/>
          <w:sz w:val="20"/>
          <w:szCs w:val="20"/>
          <w:u w:val="single"/>
        </w:rPr>
      </w:pPr>
    </w:p>
    <w:p w:rsidR="00E0394E" w:rsidRPr="00E0394E" w:rsidRDefault="00E0394E" w:rsidP="00E0394E">
      <w:pPr>
        <w:spacing w:after="240" w:line="260" w:lineRule="atLeast"/>
        <w:jc w:val="both"/>
        <w:rPr>
          <w:rFonts w:eastAsia="Calibri"/>
          <w:sz w:val="20"/>
          <w:szCs w:val="20"/>
        </w:rPr>
      </w:pPr>
      <w:r w:rsidRPr="00E0394E">
        <w:rPr>
          <w:rFonts w:eastAsia="Calibri"/>
          <w:b/>
          <w:sz w:val="20"/>
          <w:szCs w:val="20"/>
        </w:rPr>
        <w:t>Η Διεύθυνση Οικονομικής Ανάλυσης και Έρευνας Διεθνών Κεφαλαιαγορών της Eurobank</w:t>
      </w:r>
      <w:r w:rsidRPr="00E0394E">
        <w:rPr>
          <w:rFonts w:eastAsia="Calibri"/>
          <w:sz w:val="20"/>
          <w:szCs w:val="20"/>
        </w:rPr>
        <w:t xml:space="preserve"> δημοσίευσε σήμερα ειδική μελέτη με τίτλο </w:t>
      </w:r>
      <w:r w:rsidRPr="00E0394E">
        <w:rPr>
          <w:rFonts w:eastAsia="Calibri"/>
          <w:i/>
          <w:sz w:val="20"/>
          <w:szCs w:val="20"/>
        </w:rPr>
        <w:t>«</w:t>
      </w:r>
      <w:r w:rsidRPr="00E0394E">
        <w:rPr>
          <w:b/>
          <w:i/>
          <w:sz w:val="20"/>
          <w:szCs w:val="20"/>
        </w:rPr>
        <w:t>Η ελληνική οικονομία ένα χρόνο μετά την επιβολή των περιορισμών στην κί</w:t>
      </w:r>
      <w:r w:rsidR="00F131E6">
        <w:rPr>
          <w:b/>
          <w:i/>
          <w:sz w:val="20"/>
          <w:szCs w:val="20"/>
        </w:rPr>
        <w:t>νηση κεφαλαίων: οι επιπτώσεις</w:t>
      </w:r>
      <w:r w:rsidRPr="00E0394E">
        <w:rPr>
          <w:b/>
          <w:i/>
          <w:sz w:val="20"/>
          <w:szCs w:val="20"/>
        </w:rPr>
        <w:t xml:space="preserve"> στην πραγματική οικονομία και τα διδάγματα από την εμπειρία της Κύπρου</w:t>
      </w:r>
      <w:r w:rsidRPr="00E0394E">
        <w:rPr>
          <w:rFonts w:eastAsia="Calibri"/>
          <w:i/>
          <w:sz w:val="20"/>
          <w:szCs w:val="20"/>
        </w:rPr>
        <w:t>».</w:t>
      </w:r>
      <w:r w:rsidRPr="00E0394E">
        <w:rPr>
          <w:rFonts w:eastAsia="Calibri"/>
          <w:sz w:val="20"/>
          <w:szCs w:val="20"/>
        </w:rPr>
        <w:t xml:space="preserve"> Τη συγγραφή της έκθεσης επιμελούνται οι οικ</w:t>
      </w:r>
      <w:r w:rsidR="00A15D45">
        <w:rPr>
          <w:rFonts w:eastAsia="Calibri"/>
          <w:sz w:val="20"/>
          <w:szCs w:val="20"/>
        </w:rPr>
        <w:t xml:space="preserve">ονομολόγοι της Τράπεζας κ. κ. </w:t>
      </w:r>
      <w:r w:rsidRPr="00E0394E">
        <w:rPr>
          <w:rFonts w:eastAsia="Calibri"/>
          <w:sz w:val="20"/>
          <w:szCs w:val="20"/>
        </w:rPr>
        <w:t xml:space="preserve">Δρ. Πλάτων </w:t>
      </w:r>
      <w:proofErr w:type="spellStart"/>
      <w:r w:rsidRPr="00E0394E">
        <w:rPr>
          <w:rFonts w:eastAsia="Calibri"/>
          <w:sz w:val="20"/>
          <w:szCs w:val="20"/>
        </w:rPr>
        <w:t>Μονοκρούσος</w:t>
      </w:r>
      <w:proofErr w:type="spellEnd"/>
      <w:r w:rsidRPr="00E0394E">
        <w:rPr>
          <w:rFonts w:eastAsia="Calibri"/>
          <w:sz w:val="20"/>
          <w:szCs w:val="20"/>
        </w:rPr>
        <w:t>, Ιωάννης Γκιώνης, Δρ. Στυλιανός</w:t>
      </w:r>
      <w:r w:rsidR="00A15D45">
        <w:rPr>
          <w:rFonts w:eastAsia="Calibri"/>
          <w:sz w:val="20"/>
          <w:szCs w:val="20"/>
        </w:rPr>
        <w:t xml:space="preserve"> </w:t>
      </w:r>
      <w:r w:rsidRPr="00E0394E">
        <w:rPr>
          <w:rFonts w:eastAsia="Calibri"/>
          <w:sz w:val="20"/>
          <w:szCs w:val="20"/>
        </w:rPr>
        <w:t>Γώγος, Άννα Δημητριάδου, Παρασκευή Πετροπούλου, και Δρ. Θεόδωρος Σταματίου.</w:t>
      </w:r>
    </w:p>
    <w:p w:rsidR="00E0394E" w:rsidRPr="00E0394E" w:rsidRDefault="00E0394E" w:rsidP="00E0394E">
      <w:pPr>
        <w:spacing w:after="240" w:line="260" w:lineRule="atLeast"/>
        <w:jc w:val="both"/>
        <w:rPr>
          <w:rFonts w:eastAsia="Calibri"/>
          <w:sz w:val="20"/>
          <w:szCs w:val="20"/>
        </w:rPr>
      </w:pPr>
      <w:r w:rsidRPr="00E0394E">
        <w:rPr>
          <w:rFonts w:eastAsia="Calibri"/>
          <w:sz w:val="20"/>
          <w:szCs w:val="20"/>
        </w:rPr>
        <w:t>Κάποια από τα κυρ</w:t>
      </w:r>
      <w:r w:rsidR="00C063EE">
        <w:rPr>
          <w:rFonts w:eastAsia="Calibri"/>
          <w:sz w:val="20"/>
          <w:szCs w:val="20"/>
        </w:rPr>
        <w:t xml:space="preserve">ιότερα </w:t>
      </w:r>
      <w:r w:rsidR="008D60E3">
        <w:rPr>
          <w:rFonts w:eastAsia="Calibri"/>
          <w:sz w:val="20"/>
          <w:szCs w:val="20"/>
        </w:rPr>
        <w:t xml:space="preserve">σημεία </w:t>
      </w:r>
      <w:r w:rsidR="00C063EE">
        <w:rPr>
          <w:rFonts w:eastAsia="Calibri"/>
          <w:sz w:val="20"/>
          <w:szCs w:val="20"/>
        </w:rPr>
        <w:t>της μελέτης</w:t>
      </w:r>
      <w:r w:rsidRPr="00E0394E">
        <w:rPr>
          <w:rFonts w:eastAsia="Calibri"/>
          <w:sz w:val="20"/>
          <w:szCs w:val="20"/>
        </w:rPr>
        <w:t xml:space="preserve"> παρουσιάζονται ακολούθως.  </w:t>
      </w:r>
    </w:p>
    <w:p w:rsidR="00A3068C" w:rsidRPr="00E0394E" w:rsidRDefault="00E0394E" w:rsidP="00A3068C">
      <w:pPr>
        <w:numPr>
          <w:ilvl w:val="0"/>
          <w:numId w:val="14"/>
        </w:numPr>
        <w:spacing w:after="240" w:line="260" w:lineRule="atLeast"/>
        <w:contextualSpacing/>
        <w:jc w:val="both"/>
        <w:rPr>
          <w:rFonts w:eastAsia="Calibri"/>
          <w:sz w:val="20"/>
          <w:szCs w:val="20"/>
        </w:rPr>
      </w:pPr>
      <w:r w:rsidRPr="00E0394E">
        <w:rPr>
          <w:rFonts w:eastAsia="Calibri"/>
          <w:sz w:val="20"/>
          <w:szCs w:val="20"/>
        </w:rPr>
        <w:t xml:space="preserve">Οι περιορισμοί στην κίνηση κεφαλαίων </w:t>
      </w:r>
      <w:r w:rsidR="00257A8B">
        <w:rPr>
          <w:rFonts w:eastAsia="Calibri"/>
          <w:sz w:val="20"/>
          <w:szCs w:val="20"/>
        </w:rPr>
        <w:t>τέθηκαν σε ισχύ</w:t>
      </w:r>
      <w:r w:rsidR="00F90C0B">
        <w:rPr>
          <w:rFonts w:eastAsia="Calibri"/>
          <w:sz w:val="20"/>
          <w:szCs w:val="20"/>
        </w:rPr>
        <w:t xml:space="preserve"> </w:t>
      </w:r>
      <w:r w:rsidR="00D22CD1">
        <w:rPr>
          <w:rFonts w:eastAsia="Calibri"/>
          <w:sz w:val="20"/>
          <w:szCs w:val="20"/>
        </w:rPr>
        <w:t xml:space="preserve">στις 28 </w:t>
      </w:r>
      <w:r w:rsidR="00F90C0B">
        <w:rPr>
          <w:rFonts w:eastAsia="Calibri"/>
          <w:sz w:val="20"/>
          <w:szCs w:val="20"/>
        </w:rPr>
        <w:t>Ιούνιου</w:t>
      </w:r>
      <w:r w:rsidR="00257A8B">
        <w:rPr>
          <w:rFonts w:eastAsia="Calibri"/>
          <w:sz w:val="20"/>
          <w:szCs w:val="20"/>
        </w:rPr>
        <w:t xml:space="preserve"> </w:t>
      </w:r>
      <w:r w:rsidR="00F90C0B">
        <w:rPr>
          <w:rFonts w:eastAsia="Calibri"/>
          <w:sz w:val="20"/>
          <w:szCs w:val="20"/>
        </w:rPr>
        <w:t xml:space="preserve">του </w:t>
      </w:r>
      <w:r w:rsidR="00257A8B">
        <w:rPr>
          <w:rFonts w:eastAsia="Calibri"/>
          <w:sz w:val="20"/>
          <w:szCs w:val="20"/>
        </w:rPr>
        <w:t>2015</w:t>
      </w:r>
      <w:r w:rsidRPr="00E0394E">
        <w:rPr>
          <w:rFonts w:eastAsia="Calibri"/>
          <w:sz w:val="20"/>
          <w:szCs w:val="20"/>
        </w:rPr>
        <w:t>. Από τότε μέχρι σήμερα έχει πραγματοποιηθεί</w:t>
      </w:r>
      <w:r w:rsidR="00D0360A">
        <w:rPr>
          <w:rFonts w:eastAsia="Calibri"/>
          <w:sz w:val="20"/>
          <w:szCs w:val="20"/>
        </w:rPr>
        <w:t xml:space="preserve"> </w:t>
      </w:r>
      <w:r w:rsidRPr="00E0394E">
        <w:rPr>
          <w:rFonts w:eastAsia="Calibri"/>
          <w:sz w:val="20"/>
          <w:szCs w:val="20"/>
        </w:rPr>
        <w:t xml:space="preserve">σειρά αλλαγών που έχει χαλαρώσει σημαντικά το </w:t>
      </w:r>
      <w:r w:rsidR="008D60E3">
        <w:rPr>
          <w:rFonts w:eastAsia="Calibri"/>
          <w:sz w:val="20"/>
          <w:szCs w:val="20"/>
        </w:rPr>
        <w:t xml:space="preserve">αρχικό </w:t>
      </w:r>
      <w:r w:rsidRPr="00E0394E">
        <w:rPr>
          <w:rFonts w:eastAsia="Calibri"/>
          <w:sz w:val="20"/>
          <w:szCs w:val="20"/>
        </w:rPr>
        <w:t xml:space="preserve">καθεστώς. Οι σημαντικότερες </w:t>
      </w:r>
      <w:r w:rsidR="00C07E10">
        <w:rPr>
          <w:rFonts w:eastAsia="Calibri"/>
          <w:sz w:val="20"/>
          <w:szCs w:val="20"/>
        </w:rPr>
        <w:t xml:space="preserve">από τις πλέον πρόσφατες </w:t>
      </w:r>
      <w:r w:rsidR="00257A8B">
        <w:rPr>
          <w:rFonts w:eastAsia="Calibri"/>
          <w:sz w:val="20"/>
          <w:szCs w:val="20"/>
        </w:rPr>
        <w:t>εξ αυτών</w:t>
      </w:r>
      <w:r w:rsidRPr="00E0394E">
        <w:rPr>
          <w:rFonts w:eastAsia="Calibri"/>
          <w:sz w:val="20"/>
          <w:szCs w:val="20"/>
        </w:rPr>
        <w:t xml:space="preserve"> – με ημερομηνία έναρξης εφαρμογής την 22</w:t>
      </w:r>
      <w:r w:rsidRPr="00E0394E">
        <w:rPr>
          <w:rFonts w:eastAsia="Calibri"/>
          <w:sz w:val="20"/>
          <w:szCs w:val="20"/>
          <w:vertAlign w:val="superscript"/>
        </w:rPr>
        <w:t>η</w:t>
      </w:r>
      <w:r w:rsidRPr="00E0394E">
        <w:rPr>
          <w:rFonts w:eastAsia="Calibri"/>
          <w:sz w:val="20"/>
          <w:szCs w:val="20"/>
        </w:rPr>
        <w:t xml:space="preserve"> Ιουλίου 2016 – </w:t>
      </w:r>
      <w:r w:rsidR="00A3068C">
        <w:rPr>
          <w:rFonts w:eastAsia="Calibri"/>
          <w:sz w:val="20"/>
          <w:szCs w:val="20"/>
        </w:rPr>
        <w:t>συμπεριλαμβάνουν</w:t>
      </w:r>
      <w:r w:rsidR="00A3068C" w:rsidRPr="00A3068C">
        <w:rPr>
          <w:rFonts w:eastAsia="Calibri"/>
          <w:sz w:val="20"/>
          <w:szCs w:val="20"/>
        </w:rPr>
        <w:t xml:space="preserve">: </w:t>
      </w:r>
    </w:p>
    <w:p w:rsidR="00E0394E" w:rsidRPr="00E0394E" w:rsidRDefault="00C07E10" w:rsidP="00E0394E">
      <w:pPr>
        <w:numPr>
          <w:ilvl w:val="1"/>
          <w:numId w:val="14"/>
        </w:numPr>
        <w:spacing w:after="240" w:line="260" w:lineRule="atLeast"/>
        <w:contextualSpacing/>
        <w:jc w:val="both"/>
        <w:rPr>
          <w:rFonts w:eastAsia="Calibri"/>
          <w:sz w:val="20"/>
          <w:szCs w:val="20"/>
        </w:rPr>
      </w:pPr>
      <w:r>
        <w:rPr>
          <w:rFonts w:eastAsia="Calibri"/>
          <w:sz w:val="20"/>
          <w:szCs w:val="20"/>
        </w:rPr>
        <w:t xml:space="preserve">την </w:t>
      </w:r>
      <w:r w:rsidR="006F6CAC">
        <w:rPr>
          <w:rFonts w:eastAsia="Calibri"/>
          <w:sz w:val="20"/>
          <w:szCs w:val="20"/>
        </w:rPr>
        <w:t>α</w:t>
      </w:r>
      <w:r w:rsidR="00E0394E" w:rsidRPr="00E0394E">
        <w:rPr>
          <w:rFonts w:eastAsia="Calibri"/>
          <w:sz w:val="20"/>
          <w:szCs w:val="20"/>
        </w:rPr>
        <w:t>ύξηση του ανώτατου ορίου ανάληψης μετρητών στα €840 ανά δύο εβδομάδες ανά καταθέτη και ανά πιστωτικό</w:t>
      </w:r>
      <w:r w:rsidR="006F6CAC">
        <w:rPr>
          <w:rFonts w:eastAsia="Calibri"/>
          <w:sz w:val="20"/>
          <w:szCs w:val="20"/>
        </w:rPr>
        <w:t xml:space="preserve"> ίδρυμα,</w:t>
      </w:r>
    </w:p>
    <w:p w:rsidR="00E0394E" w:rsidRPr="00E0394E" w:rsidRDefault="00C07E10" w:rsidP="00E0394E">
      <w:pPr>
        <w:numPr>
          <w:ilvl w:val="1"/>
          <w:numId w:val="14"/>
        </w:numPr>
        <w:spacing w:after="240" w:line="260" w:lineRule="atLeast"/>
        <w:contextualSpacing/>
        <w:jc w:val="both"/>
        <w:rPr>
          <w:rFonts w:eastAsia="Calibri"/>
          <w:sz w:val="20"/>
          <w:szCs w:val="20"/>
        </w:rPr>
      </w:pPr>
      <w:r>
        <w:rPr>
          <w:rFonts w:eastAsia="Calibri"/>
          <w:sz w:val="20"/>
          <w:szCs w:val="20"/>
        </w:rPr>
        <w:t xml:space="preserve">την </w:t>
      </w:r>
      <w:r w:rsidR="006F6CAC">
        <w:rPr>
          <w:rFonts w:eastAsia="Calibri"/>
          <w:sz w:val="20"/>
          <w:szCs w:val="20"/>
        </w:rPr>
        <w:t>α</w:t>
      </w:r>
      <w:r w:rsidR="00E0394E" w:rsidRPr="00E0394E">
        <w:rPr>
          <w:rFonts w:eastAsia="Calibri"/>
          <w:sz w:val="20"/>
          <w:szCs w:val="20"/>
        </w:rPr>
        <w:t>ύξη</w:t>
      </w:r>
      <w:r w:rsidR="006F6CAC">
        <w:rPr>
          <w:rFonts w:eastAsia="Calibri"/>
          <w:sz w:val="20"/>
          <w:szCs w:val="20"/>
        </w:rPr>
        <w:t>ση (στο 30% από 10% προγενέστερα</w:t>
      </w:r>
      <w:r w:rsidR="00E0394E" w:rsidRPr="00E0394E">
        <w:rPr>
          <w:rFonts w:eastAsia="Calibri"/>
          <w:sz w:val="20"/>
          <w:szCs w:val="20"/>
        </w:rPr>
        <w:t>) του ορίου αναλήψεων για κεφάλαια που έχουν εισαχθεί από το εξωτερικό μετά την εφαρμογή των πε</w:t>
      </w:r>
      <w:r w:rsidR="006F6CAC">
        <w:rPr>
          <w:rFonts w:eastAsia="Calibri"/>
          <w:sz w:val="20"/>
          <w:szCs w:val="20"/>
        </w:rPr>
        <w:t>ριορισμών στην κίνηση κεφαλαίων,</w:t>
      </w:r>
    </w:p>
    <w:p w:rsidR="00E0394E" w:rsidRPr="00E0394E" w:rsidRDefault="00C07E10" w:rsidP="00E0394E">
      <w:pPr>
        <w:numPr>
          <w:ilvl w:val="1"/>
          <w:numId w:val="14"/>
        </w:numPr>
        <w:spacing w:after="240" w:line="260" w:lineRule="atLeast"/>
        <w:contextualSpacing/>
        <w:jc w:val="both"/>
        <w:rPr>
          <w:rFonts w:eastAsia="Calibri"/>
          <w:sz w:val="20"/>
          <w:szCs w:val="20"/>
        </w:rPr>
      </w:pPr>
      <w:r>
        <w:rPr>
          <w:rFonts w:eastAsia="Calibri"/>
          <w:sz w:val="20"/>
          <w:szCs w:val="20"/>
        </w:rPr>
        <w:t xml:space="preserve">την </w:t>
      </w:r>
      <w:r w:rsidR="006F6CAC">
        <w:rPr>
          <w:rFonts w:eastAsia="Calibri"/>
          <w:sz w:val="20"/>
          <w:szCs w:val="20"/>
        </w:rPr>
        <w:t>α</w:t>
      </w:r>
      <w:r w:rsidR="00E0394E" w:rsidRPr="00E0394E">
        <w:rPr>
          <w:rFonts w:eastAsia="Calibri"/>
          <w:sz w:val="20"/>
          <w:szCs w:val="20"/>
        </w:rPr>
        <w:t>νάληψη του συνόλου (100%) των κεφαλαίων που έχουν κατατεθεί σε μετρητά μετά την 22/07/2</w:t>
      </w:r>
      <w:r w:rsidR="006F6CAC">
        <w:rPr>
          <w:rFonts w:eastAsia="Calibri"/>
          <w:sz w:val="20"/>
          <w:szCs w:val="20"/>
        </w:rPr>
        <w:t xml:space="preserve">016 από φυσικά ή νομικά πρόσωπα, </w:t>
      </w:r>
      <w:r w:rsidR="00E0394E" w:rsidRPr="00E0394E">
        <w:rPr>
          <w:rFonts w:eastAsia="Calibri"/>
          <w:sz w:val="20"/>
          <w:szCs w:val="20"/>
        </w:rPr>
        <w:t>και</w:t>
      </w:r>
    </w:p>
    <w:p w:rsidR="00E0394E" w:rsidRPr="00E0394E" w:rsidRDefault="00C07E10" w:rsidP="00E0394E">
      <w:pPr>
        <w:numPr>
          <w:ilvl w:val="1"/>
          <w:numId w:val="14"/>
        </w:numPr>
        <w:spacing w:after="240" w:line="260" w:lineRule="atLeast"/>
        <w:contextualSpacing/>
        <w:jc w:val="both"/>
        <w:rPr>
          <w:rFonts w:eastAsia="Calibri"/>
          <w:sz w:val="20"/>
          <w:szCs w:val="20"/>
        </w:rPr>
      </w:pPr>
      <w:r>
        <w:rPr>
          <w:rFonts w:eastAsia="Calibri"/>
          <w:sz w:val="20"/>
          <w:szCs w:val="20"/>
        </w:rPr>
        <w:t xml:space="preserve">την </w:t>
      </w:r>
      <w:r w:rsidR="006F6CAC">
        <w:rPr>
          <w:rFonts w:eastAsia="Calibri"/>
          <w:sz w:val="20"/>
          <w:szCs w:val="20"/>
        </w:rPr>
        <w:t>κ</w:t>
      </w:r>
      <w:r w:rsidR="00E0394E" w:rsidRPr="00E0394E">
        <w:rPr>
          <w:rFonts w:eastAsia="Calibri"/>
          <w:sz w:val="20"/>
          <w:szCs w:val="20"/>
        </w:rPr>
        <w:t>ατάργηση του περιορισμού πρόωρης, μερικής ή ολικής, αποπληρωμής δανείου σε πιστωτικό ίδρυμα.</w:t>
      </w:r>
    </w:p>
    <w:p w:rsidR="00E0394E" w:rsidRPr="00E0394E" w:rsidRDefault="00E0394E" w:rsidP="00E0394E">
      <w:pPr>
        <w:numPr>
          <w:ilvl w:val="0"/>
          <w:numId w:val="14"/>
        </w:numPr>
        <w:spacing w:after="240" w:line="260" w:lineRule="atLeast"/>
        <w:contextualSpacing/>
        <w:jc w:val="both"/>
        <w:rPr>
          <w:rFonts w:eastAsia="Calibri"/>
          <w:sz w:val="20"/>
          <w:szCs w:val="20"/>
        </w:rPr>
      </w:pPr>
      <w:r w:rsidRPr="00E0394E">
        <w:rPr>
          <w:rFonts w:eastAsia="Calibri"/>
          <w:sz w:val="20"/>
          <w:szCs w:val="20"/>
        </w:rPr>
        <w:t>Το 3</w:t>
      </w:r>
      <w:r w:rsidRPr="00E0394E">
        <w:rPr>
          <w:rFonts w:eastAsia="Calibri"/>
          <w:sz w:val="20"/>
          <w:szCs w:val="20"/>
          <w:vertAlign w:val="superscript"/>
        </w:rPr>
        <w:t>ο</w:t>
      </w:r>
      <w:r w:rsidRPr="00E0394E">
        <w:rPr>
          <w:rFonts w:eastAsia="Calibri"/>
          <w:sz w:val="20"/>
          <w:szCs w:val="20"/>
        </w:rPr>
        <w:t xml:space="preserve"> τρίμηνο 2015 η ελληνική οικονομία επέστρεψε σε αρνητικούς ρυθμούς </w:t>
      </w:r>
      <w:r w:rsidR="008D60E3">
        <w:rPr>
          <w:rFonts w:eastAsia="Calibri"/>
          <w:sz w:val="20"/>
          <w:szCs w:val="20"/>
        </w:rPr>
        <w:t xml:space="preserve">μεγέθυνσης </w:t>
      </w:r>
      <w:r w:rsidRPr="00E0394E">
        <w:rPr>
          <w:rFonts w:eastAsia="Calibri"/>
          <w:sz w:val="20"/>
          <w:szCs w:val="20"/>
        </w:rPr>
        <w:t>(-1,7%</w:t>
      </w:r>
      <w:r w:rsidR="00643386">
        <w:rPr>
          <w:rFonts w:eastAsia="Calibri"/>
          <w:sz w:val="20"/>
          <w:szCs w:val="20"/>
        </w:rPr>
        <w:t xml:space="preserve"> σε ετήσια βάση</w:t>
      </w:r>
      <w:r w:rsidRPr="00E0394E">
        <w:rPr>
          <w:rFonts w:eastAsia="Calibri"/>
          <w:sz w:val="20"/>
          <w:szCs w:val="20"/>
        </w:rPr>
        <w:t xml:space="preserve">) έπειτα από 5 συνεχή τρίμηνα θετικής μεταβολής του πραγματικού ΑΕΠ (μέσος όρος +0,8%). Παρά την αρνητική </w:t>
      </w:r>
      <w:r w:rsidR="00926265">
        <w:rPr>
          <w:rFonts w:eastAsia="Calibri"/>
          <w:sz w:val="20"/>
          <w:szCs w:val="20"/>
        </w:rPr>
        <w:t xml:space="preserve">επίδραση από την επιβολή </w:t>
      </w:r>
      <w:r w:rsidRPr="00E0394E">
        <w:rPr>
          <w:rFonts w:eastAsia="Calibri"/>
          <w:sz w:val="20"/>
          <w:szCs w:val="20"/>
        </w:rPr>
        <w:t>των περιορισμών στην κίνηση κεφαλαίων, η ύφ</w:t>
      </w:r>
      <w:r w:rsidR="00E21769">
        <w:rPr>
          <w:rFonts w:eastAsia="Calibri"/>
          <w:sz w:val="20"/>
          <w:szCs w:val="20"/>
        </w:rPr>
        <w:t>ε</w:t>
      </w:r>
      <w:r w:rsidR="00D0360A">
        <w:rPr>
          <w:rFonts w:eastAsia="Calibri"/>
          <w:sz w:val="20"/>
          <w:szCs w:val="20"/>
        </w:rPr>
        <w:t>ση σ</w:t>
      </w:r>
      <w:r w:rsidR="00E21769">
        <w:rPr>
          <w:rFonts w:eastAsia="Calibri"/>
          <w:sz w:val="20"/>
          <w:szCs w:val="20"/>
        </w:rPr>
        <w:t>το σύνολο του</w:t>
      </w:r>
      <w:r w:rsidR="00D0360A">
        <w:rPr>
          <w:rFonts w:eastAsia="Calibri"/>
          <w:sz w:val="20"/>
          <w:szCs w:val="20"/>
        </w:rPr>
        <w:t xml:space="preserve"> προηγούμενου</w:t>
      </w:r>
      <w:r w:rsidR="00E21769">
        <w:rPr>
          <w:rFonts w:eastAsia="Calibri"/>
          <w:sz w:val="20"/>
          <w:szCs w:val="20"/>
        </w:rPr>
        <w:t xml:space="preserve"> έτους</w:t>
      </w:r>
      <w:r w:rsidRPr="00E0394E">
        <w:rPr>
          <w:rFonts w:eastAsia="Calibri"/>
          <w:sz w:val="20"/>
          <w:szCs w:val="20"/>
        </w:rPr>
        <w:t xml:space="preserve"> αποδείχτηκε αρκετά ηπιότερη των αρχικών προβλέψεων. Συγκεκριμένα, τον Αύγουστο 2015 η Ευρωπαϊκή Επιτροπή (ΕΕ) εκτιμούσε ότι η συρρίκνωση του πραγματικού ΑΕΠ</w:t>
      </w:r>
      <w:r w:rsidR="00926265">
        <w:rPr>
          <w:rFonts w:eastAsia="Calibri"/>
          <w:sz w:val="20"/>
          <w:szCs w:val="20"/>
        </w:rPr>
        <w:t xml:space="preserve"> θα κυμαινόταν μεταξύ</w:t>
      </w:r>
      <w:r w:rsidRPr="00E0394E">
        <w:rPr>
          <w:rFonts w:eastAsia="Calibri"/>
          <w:sz w:val="20"/>
          <w:szCs w:val="20"/>
        </w:rPr>
        <w:t xml:space="preserve"> </w:t>
      </w:r>
      <w:r w:rsidR="00926265">
        <w:rPr>
          <w:rFonts w:eastAsia="Calibri"/>
          <w:sz w:val="20"/>
          <w:szCs w:val="20"/>
        </w:rPr>
        <w:t>-2% και</w:t>
      </w:r>
      <w:r w:rsidR="00C20C79">
        <w:rPr>
          <w:rFonts w:eastAsia="Calibri"/>
          <w:sz w:val="20"/>
          <w:szCs w:val="20"/>
        </w:rPr>
        <w:t xml:space="preserve"> -4%. Σειρά παραγόντων συντέλεσαν στην εξέλιξη αυτή. Μεταξύ άλλων, </w:t>
      </w:r>
      <w:r w:rsidRPr="00E0394E">
        <w:rPr>
          <w:rFonts w:eastAsia="Calibri"/>
          <w:sz w:val="20"/>
          <w:szCs w:val="20"/>
        </w:rPr>
        <w:t>η υπογραφή του 3</w:t>
      </w:r>
      <w:r w:rsidRPr="00E0394E">
        <w:rPr>
          <w:rFonts w:eastAsia="Calibri"/>
          <w:sz w:val="20"/>
          <w:szCs w:val="20"/>
          <w:vertAlign w:val="superscript"/>
        </w:rPr>
        <w:t>ου</w:t>
      </w:r>
      <w:r w:rsidRPr="00E0394E">
        <w:rPr>
          <w:rFonts w:eastAsia="Calibri"/>
          <w:sz w:val="20"/>
          <w:szCs w:val="20"/>
        </w:rPr>
        <w:t xml:space="preserve"> </w:t>
      </w:r>
      <w:r w:rsidR="000A0688">
        <w:rPr>
          <w:rFonts w:eastAsia="Calibri"/>
          <w:sz w:val="20"/>
          <w:szCs w:val="20"/>
        </w:rPr>
        <w:t>Π</w:t>
      </w:r>
      <w:r w:rsidR="000A0688" w:rsidRPr="00E0394E">
        <w:rPr>
          <w:rFonts w:eastAsia="Calibri"/>
          <w:sz w:val="20"/>
          <w:szCs w:val="20"/>
        </w:rPr>
        <w:t xml:space="preserve">ρογράμματος </w:t>
      </w:r>
      <w:r w:rsidR="000A0688">
        <w:rPr>
          <w:rFonts w:eastAsia="Calibri"/>
          <w:sz w:val="20"/>
          <w:szCs w:val="20"/>
        </w:rPr>
        <w:t>Ο</w:t>
      </w:r>
      <w:r w:rsidR="000A0688" w:rsidRPr="00E0394E">
        <w:rPr>
          <w:rFonts w:eastAsia="Calibri"/>
          <w:sz w:val="20"/>
          <w:szCs w:val="20"/>
        </w:rPr>
        <w:t xml:space="preserve">ικονομικής </w:t>
      </w:r>
      <w:r w:rsidR="000A0688">
        <w:rPr>
          <w:rFonts w:eastAsia="Calibri"/>
          <w:sz w:val="20"/>
          <w:szCs w:val="20"/>
        </w:rPr>
        <w:t>Π</w:t>
      </w:r>
      <w:r w:rsidR="000A0688" w:rsidRPr="00E0394E">
        <w:rPr>
          <w:rFonts w:eastAsia="Calibri"/>
          <w:sz w:val="20"/>
          <w:szCs w:val="20"/>
        </w:rPr>
        <w:t>ροσαρμογής</w:t>
      </w:r>
      <w:r w:rsidRPr="00E0394E">
        <w:rPr>
          <w:rFonts w:eastAsia="Calibri"/>
          <w:sz w:val="20"/>
          <w:szCs w:val="20"/>
        </w:rPr>
        <w:t xml:space="preserve">, η βελτίωση του οικονομικού κλίματος, η καλή τουριστική σεζόν, η </w:t>
      </w:r>
      <w:r w:rsidR="00E21769">
        <w:rPr>
          <w:rFonts w:eastAsia="Calibri"/>
          <w:sz w:val="20"/>
          <w:szCs w:val="20"/>
        </w:rPr>
        <w:t xml:space="preserve">σταδιακή </w:t>
      </w:r>
      <w:r w:rsidRPr="00E0394E">
        <w:rPr>
          <w:rFonts w:eastAsia="Calibri"/>
          <w:sz w:val="20"/>
          <w:szCs w:val="20"/>
        </w:rPr>
        <w:t xml:space="preserve">χαλάρωση των κεφαλαιακών ελέγχων, η </w:t>
      </w:r>
      <w:r w:rsidR="00C20C79">
        <w:rPr>
          <w:rFonts w:eastAsia="Calibri"/>
          <w:sz w:val="20"/>
          <w:szCs w:val="20"/>
        </w:rPr>
        <w:t xml:space="preserve">επιτυχής </w:t>
      </w:r>
      <w:r w:rsidRPr="00E0394E">
        <w:rPr>
          <w:rFonts w:eastAsia="Calibri"/>
          <w:sz w:val="20"/>
          <w:szCs w:val="20"/>
        </w:rPr>
        <w:t xml:space="preserve">ανακεφαλαιοποίηση του εγχώριου τραπεζικού συστήματος, η πτώση των τιμών του πετρελαίου και η </w:t>
      </w:r>
      <w:r w:rsidR="00C20C79">
        <w:rPr>
          <w:rFonts w:eastAsia="Calibri"/>
          <w:sz w:val="20"/>
          <w:szCs w:val="20"/>
        </w:rPr>
        <w:t xml:space="preserve">αποδυνάμωση </w:t>
      </w:r>
      <w:r w:rsidRPr="00E0394E">
        <w:rPr>
          <w:rFonts w:eastAsia="Calibri"/>
          <w:sz w:val="20"/>
          <w:szCs w:val="20"/>
        </w:rPr>
        <w:t>του ευρώ είχαν ως αποτέλεσμα τη συγκράτηση της ύφεση</w:t>
      </w:r>
      <w:r w:rsidR="00C20C79">
        <w:rPr>
          <w:rFonts w:eastAsia="Calibri"/>
          <w:sz w:val="20"/>
          <w:szCs w:val="20"/>
        </w:rPr>
        <w:t>ς</w:t>
      </w:r>
      <w:r w:rsidRPr="00E0394E">
        <w:rPr>
          <w:rFonts w:eastAsia="Calibri"/>
          <w:sz w:val="20"/>
          <w:szCs w:val="20"/>
        </w:rPr>
        <w:t xml:space="preserve"> στο -0,2%. Η εγχώρια ζήτηση είχε αρνητική συνεισφορά κυρίως λόγω </w:t>
      </w:r>
      <w:r w:rsidR="00A15D45">
        <w:rPr>
          <w:rFonts w:eastAsia="Calibri"/>
          <w:sz w:val="20"/>
          <w:szCs w:val="20"/>
        </w:rPr>
        <w:t>της μεγάλης πτώσης</w:t>
      </w:r>
      <w:r w:rsidRPr="00E0394E">
        <w:rPr>
          <w:rFonts w:eastAsia="Calibri"/>
          <w:sz w:val="20"/>
          <w:szCs w:val="20"/>
        </w:rPr>
        <w:t xml:space="preserve"> των αποθεμάτων ενώ οι καθαρές εξαγωγές κινήθηκαν στην αντίθετη κατεύθυνση εξαιτίας της </w:t>
      </w:r>
      <w:r w:rsidR="00A15D45">
        <w:rPr>
          <w:rFonts w:eastAsia="Calibri"/>
          <w:sz w:val="20"/>
          <w:szCs w:val="20"/>
        </w:rPr>
        <w:t>σημαντικής συρρίκνωσης</w:t>
      </w:r>
      <w:r w:rsidRPr="00E0394E">
        <w:rPr>
          <w:rFonts w:eastAsia="Calibri"/>
          <w:sz w:val="20"/>
          <w:szCs w:val="20"/>
        </w:rPr>
        <w:t xml:space="preserve"> των εισαγωγών. Η ανθεκτικότητα που επέδειξαν οι εξαγωγές αγαθών εκτός των πετρελαιοειδών και πλοίων</w:t>
      </w:r>
      <w:r w:rsidR="007E4A3A">
        <w:rPr>
          <w:rFonts w:eastAsia="Calibri"/>
          <w:sz w:val="20"/>
          <w:szCs w:val="20"/>
        </w:rPr>
        <w:t xml:space="preserve"> αποτέλεσε </w:t>
      </w:r>
      <w:r w:rsidR="00D0360A">
        <w:rPr>
          <w:rFonts w:eastAsia="Calibri"/>
          <w:sz w:val="20"/>
          <w:szCs w:val="20"/>
        </w:rPr>
        <w:t xml:space="preserve">επιπλέον </w:t>
      </w:r>
      <w:r w:rsidR="003D6A85">
        <w:rPr>
          <w:rFonts w:eastAsia="Calibri"/>
          <w:sz w:val="20"/>
          <w:szCs w:val="20"/>
        </w:rPr>
        <w:t>υποστηρικτικό παράγοντα</w:t>
      </w:r>
      <w:r w:rsidRPr="00E0394E">
        <w:rPr>
          <w:rFonts w:eastAsia="Calibri"/>
          <w:sz w:val="20"/>
          <w:szCs w:val="20"/>
        </w:rPr>
        <w:t xml:space="preserve">. </w:t>
      </w:r>
    </w:p>
    <w:p w:rsidR="00A15D45" w:rsidRPr="00B21F19" w:rsidRDefault="00E0394E" w:rsidP="00B21F19">
      <w:pPr>
        <w:numPr>
          <w:ilvl w:val="0"/>
          <w:numId w:val="14"/>
        </w:numPr>
        <w:spacing w:after="240" w:line="260" w:lineRule="atLeast"/>
        <w:contextualSpacing/>
        <w:jc w:val="both"/>
        <w:rPr>
          <w:rFonts w:eastAsia="Calibri"/>
          <w:sz w:val="20"/>
          <w:szCs w:val="20"/>
        </w:rPr>
      </w:pPr>
      <w:r w:rsidRPr="00E0394E">
        <w:rPr>
          <w:rFonts w:eastAsia="Calibri"/>
          <w:sz w:val="20"/>
          <w:szCs w:val="20"/>
        </w:rPr>
        <w:t>Οι καταθέσεις του ιδιωτικού τομέα (μη-χρηματοοικονομικές επιχειρήσεις και νο</w:t>
      </w:r>
      <w:r w:rsidR="007E4A3A">
        <w:rPr>
          <w:rFonts w:eastAsia="Calibri"/>
          <w:sz w:val="20"/>
          <w:szCs w:val="20"/>
        </w:rPr>
        <w:t>ικοκυριά) παρουσίασαν</w:t>
      </w:r>
      <w:r w:rsidRPr="00E0394E">
        <w:rPr>
          <w:rFonts w:eastAsia="Calibri"/>
          <w:sz w:val="20"/>
          <w:szCs w:val="20"/>
        </w:rPr>
        <w:t xml:space="preserve"> τάσεις σταθεροποίησης μετά την </w:t>
      </w:r>
      <w:r w:rsidR="008D60E3">
        <w:rPr>
          <w:rFonts w:eastAsia="Calibri"/>
          <w:sz w:val="20"/>
          <w:szCs w:val="20"/>
        </w:rPr>
        <w:t>επιβολή</w:t>
      </w:r>
      <w:r w:rsidR="008D60E3" w:rsidRPr="00E0394E">
        <w:rPr>
          <w:rFonts w:eastAsia="Calibri"/>
          <w:sz w:val="20"/>
          <w:szCs w:val="20"/>
        </w:rPr>
        <w:t xml:space="preserve"> </w:t>
      </w:r>
      <w:r w:rsidRPr="00E0394E">
        <w:rPr>
          <w:rFonts w:eastAsia="Calibri"/>
          <w:sz w:val="20"/>
          <w:szCs w:val="20"/>
        </w:rPr>
        <w:t>των περιορισμών στην κίνη</w:t>
      </w:r>
      <w:r w:rsidR="00B21F19">
        <w:rPr>
          <w:rFonts w:eastAsia="Calibri"/>
          <w:sz w:val="20"/>
          <w:szCs w:val="20"/>
        </w:rPr>
        <w:t xml:space="preserve">ση κεφαλαίων. Ποιο συγκεκριμένα, </w:t>
      </w:r>
      <w:r w:rsidRPr="00E0394E">
        <w:rPr>
          <w:rFonts w:eastAsia="Calibri"/>
          <w:sz w:val="20"/>
          <w:szCs w:val="20"/>
        </w:rPr>
        <w:t xml:space="preserve">σύμφωνα με τα πρόσφατα στοιχεία της Τράπεζας της Ελλάδος οι καταθέσεις τον Ιούνιο του 2016 αυξήθηκαν κατά περίπου €1,0 δις </w:t>
      </w:r>
      <w:r w:rsidR="00B21F19">
        <w:rPr>
          <w:rFonts w:eastAsia="Calibri"/>
          <w:sz w:val="20"/>
          <w:szCs w:val="20"/>
        </w:rPr>
        <w:t>(+</w:t>
      </w:r>
      <w:r w:rsidRPr="00E0394E">
        <w:rPr>
          <w:rFonts w:eastAsia="Calibri"/>
          <w:sz w:val="20"/>
          <w:szCs w:val="20"/>
        </w:rPr>
        <w:t>0,9%</w:t>
      </w:r>
      <w:r w:rsidR="00B21F19">
        <w:rPr>
          <w:rFonts w:eastAsia="Calibri"/>
          <w:sz w:val="20"/>
          <w:szCs w:val="20"/>
        </w:rPr>
        <w:t>)</w:t>
      </w:r>
      <w:r w:rsidRPr="00E0394E">
        <w:rPr>
          <w:rFonts w:eastAsia="Calibri"/>
          <w:sz w:val="20"/>
          <w:szCs w:val="20"/>
        </w:rPr>
        <w:t xml:space="preserve"> σε μηνιαία βάση και </w:t>
      </w:r>
      <w:r w:rsidR="00B21F19">
        <w:rPr>
          <w:rFonts w:eastAsia="Calibri"/>
          <w:sz w:val="20"/>
          <w:szCs w:val="20"/>
        </w:rPr>
        <w:t xml:space="preserve">κατά €1,9 δις </w:t>
      </w:r>
      <w:r w:rsidR="00B21F19">
        <w:rPr>
          <w:rFonts w:eastAsia="Calibri"/>
          <w:sz w:val="20"/>
          <w:szCs w:val="20"/>
        </w:rPr>
        <w:lastRenderedPageBreak/>
        <w:t>(+</w:t>
      </w:r>
      <w:r w:rsidRPr="00E0394E">
        <w:rPr>
          <w:rFonts w:eastAsia="Calibri"/>
          <w:sz w:val="20"/>
          <w:szCs w:val="20"/>
        </w:rPr>
        <w:t>1,6%</w:t>
      </w:r>
      <w:r w:rsidR="00B21F19">
        <w:rPr>
          <w:rFonts w:eastAsia="Calibri"/>
          <w:sz w:val="20"/>
          <w:szCs w:val="20"/>
        </w:rPr>
        <w:t>)</w:t>
      </w:r>
      <w:r w:rsidRPr="00E0394E">
        <w:rPr>
          <w:rFonts w:eastAsia="Calibri"/>
          <w:sz w:val="20"/>
          <w:szCs w:val="20"/>
        </w:rPr>
        <w:t xml:space="preserve"> σε σχέση με τον Ιούλιο του 2015 (τον πρώτο μήνα εφαρμογής των π</w:t>
      </w:r>
      <w:r w:rsidR="007E4A3A" w:rsidRPr="00B21F19">
        <w:rPr>
          <w:rFonts w:eastAsia="Calibri"/>
          <w:sz w:val="20"/>
          <w:szCs w:val="20"/>
        </w:rPr>
        <w:t xml:space="preserve">εριορισμών). </w:t>
      </w:r>
      <w:r w:rsidR="00F90C0B" w:rsidRPr="00B21F19">
        <w:rPr>
          <w:rFonts w:eastAsia="Calibri"/>
          <w:sz w:val="20"/>
          <w:szCs w:val="20"/>
        </w:rPr>
        <w:t>Επιπροσθέτως, υπολογίζεται ότι χαρτονομίσματα συνολικής αξίας €4 δις περίπου έχουν επιστ</w:t>
      </w:r>
      <w:r w:rsidR="008D60E3">
        <w:rPr>
          <w:rFonts w:eastAsia="Calibri"/>
          <w:sz w:val="20"/>
          <w:szCs w:val="20"/>
        </w:rPr>
        <w:t>ρ</w:t>
      </w:r>
      <w:r w:rsidR="00F90C0B" w:rsidRPr="00B21F19">
        <w:rPr>
          <w:rFonts w:eastAsia="Calibri"/>
          <w:sz w:val="20"/>
          <w:szCs w:val="20"/>
        </w:rPr>
        <w:t xml:space="preserve">έψει στο εγχώριο τραπεζικό σύστημα τους τελευταίους 12 μήνες.  </w:t>
      </w:r>
    </w:p>
    <w:p w:rsidR="00B608EB" w:rsidRDefault="00F90C0B" w:rsidP="00B608EB">
      <w:pPr>
        <w:numPr>
          <w:ilvl w:val="0"/>
          <w:numId w:val="14"/>
        </w:numPr>
        <w:spacing w:after="240" w:line="260" w:lineRule="atLeast"/>
        <w:contextualSpacing/>
        <w:jc w:val="both"/>
        <w:rPr>
          <w:rFonts w:eastAsia="Calibri"/>
          <w:sz w:val="20"/>
          <w:szCs w:val="20"/>
        </w:rPr>
      </w:pPr>
      <w:r>
        <w:rPr>
          <w:rFonts w:eastAsia="Calibri"/>
          <w:sz w:val="20"/>
          <w:szCs w:val="20"/>
        </w:rPr>
        <w:t xml:space="preserve">Σύμφωνα με κάποιες εκτιμήσεις, </w:t>
      </w:r>
      <w:r w:rsidR="00B608EB">
        <w:rPr>
          <w:rFonts w:eastAsia="Calibri"/>
          <w:sz w:val="20"/>
          <w:szCs w:val="20"/>
        </w:rPr>
        <w:t xml:space="preserve">η συνολική </w:t>
      </w:r>
      <w:r w:rsidR="00B608EB" w:rsidRPr="00B608EB">
        <w:rPr>
          <w:rFonts w:eastAsia="Calibri"/>
          <w:i/>
          <w:sz w:val="20"/>
          <w:szCs w:val="20"/>
          <w:u w:val="single"/>
        </w:rPr>
        <w:t>υπερβάλλουσα</w:t>
      </w:r>
      <w:r w:rsidR="00B608EB">
        <w:rPr>
          <w:rFonts w:eastAsia="Calibri"/>
          <w:sz w:val="20"/>
          <w:szCs w:val="20"/>
        </w:rPr>
        <w:t xml:space="preserve"> ρευστότητα νοικοκυριών και επιχειρήσεων που παραμένει εκτός τραπεζικού συστήματος (δηλαδή «κάτω από τα στρώματα») ανέρχεται σε €</w:t>
      </w:r>
      <w:r w:rsidR="0022449C" w:rsidRPr="0022449C">
        <w:rPr>
          <w:rFonts w:eastAsia="Calibri"/>
          <w:sz w:val="20"/>
          <w:szCs w:val="20"/>
        </w:rPr>
        <w:t>15-20</w:t>
      </w:r>
      <w:r w:rsidR="008D60E3">
        <w:rPr>
          <w:rFonts w:eastAsia="Calibri"/>
          <w:sz w:val="20"/>
          <w:szCs w:val="20"/>
        </w:rPr>
        <w:t>δις</w:t>
      </w:r>
      <w:r w:rsidR="00C07E10">
        <w:rPr>
          <w:rFonts w:eastAsia="Calibri"/>
          <w:sz w:val="20"/>
          <w:szCs w:val="20"/>
        </w:rPr>
        <w:t>.</w:t>
      </w:r>
      <w:r w:rsidR="00B608EB">
        <w:rPr>
          <w:rFonts w:eastAsia="Calibri"/>
          <w:sz w:val="20"/>
          <w:szCs w:val="20"/>
        </w:rPr>
        <w:t xml:space="preserve"> Υπό ορισμένες προϋποθέσεις, η ρευστότητα αυτή θα μπορούσε να επιστέψει σχετικά άμεσα στο εγχώριο τραπεζικό σύστημα αν και αυτό θα απαιτούσε την περεταίρω βελτίωση του οικονομικού κλίματος και του αισθήματος εμπιστοσύνης των καταθετών για τις  προοπτικές της ελληνικής οικονομίας.  </w:t>
      </w:r>
    </w:p>
    <w:p w:rsidR="00E0394E" w:rsidRPr="00E0394E" w:rsidRDefault="00E0394E" w:rsidP="00B608EB">
      <w:pPr>
        <w:numPr>
          <w:ilvl w:val="0"/>
          <w:numId w:val="14"/>
        </w:numPr>
        <w:spacing w:after="240" w:line="260" w:lineRule="atLeast"/>
        <w:contextualSpacing/>
        <w:jc w:val="both"/>
        <w:rPr>
          <w:rFonts w:eastAsia="Calibri"/>
          <w:sz w:val="20"/>
          <w:szCs w:val="20"/>
        </w:rPr>
      </w:pPr>
      <w:r w:rsidRPr="00E0394E">
        <w:rPr>
          <w:rFonts w:eastAsia="Calibri"/>
          <w:sz w:val="20"/>
          <w:szCs w:val="20"/>
        </w:rPr>
        <w:t xml:space="preserve">Οι συναλλακτικές συνήθειες των νοικοκυριών και </w:t>
      </w:r>
      <w:r w:rsidR="008D60E3">
        <w:rPr>
          <w:rFonts w:eastAsia="Calibri"/>
          <w:sz w:val="20"/>
          <w:szCs w:val="20"/>
        </w:rPr>
        <w:t>των</w:t>
      </w:r>
      <w:r w:rsidR="008D60E3" w:rsidRPr="00E0394E">
        <w:rPr>
          <w:rFonts w:eastAsia="Calibri"/>
          <w:sz w:val="20"/>
          <w:szCs w:val="20"/>
        </w:rPr>
        <w:t xml:space="preserve"> </w:t>
      </w:r>
      <w:r w:rsidRPr="00E0394E">
        <w:rPr>
          <w:rFonts w:eastAsia="Calibri"/>
          <w:sz w:val="20"/>
          <w:szCs w:val="20"/>
        </w:rPr>
        <w:t>επιχειρήσεων μεταβλήθηκαν σημαντικά μετά την επιβολή των περιορισμ</w:t>
      </w:r>
      <w:r w:rsidR="005304F3">
        <w:rPr>
          <w:rFonts w:eastAsia="Calibri"/>
          <w:sz w:val="20"/>
          <w:szCs w:val="20"/>
        </w:rPr>
        <w:t xml:space="preserve">ών στην κίνηση κεφαλαίων. Όπως επιβεβαιώνεται και από τα πλέον πρόσφατα στοιχεία, </w:t>
      </w:r>
      <w:r w:rsidRPr="00E0394E">
        <w:rPr>
          <w:rFonts w:eastAsia="Calibri"/>
          <w:sz w:val="20"/>
          <w:szCs w:val="20"/>
        </w:rPr>
        <w:t xml:space="preserve">η χρήση πλαστικού χρήματος (κυρίως χρεωστικών καρτών) ενισχύεται έναντι της χρήσης φυσικού χρήματος. </w:t>
      </w:r>
    </w:p>
    <w:p w:rsidR="00E0394E" w:rsidRPr="00713B1F" w:rsidRDefault="00E0394E" w:rsidP="00E0394E">
      <w:pPr>
        <w:numPr>
          <w:ilvl w:val="0"/>
          <w:numId w:val="14"/>
        </w:numPr>
        <w:spacing w:after="240" w:line="260" w:lineRule="atLeast"/>
        <w:contextualSpacing/>
        <w:jc w:val="both"/>
        <w:rPr>
          <w:rFonts w:ascii="Times" w:eastAsia="Calibri" w:hAnsi="Times"/>
          <w:b/>
          <w:sz w:val="20"/>
          <w:szCs w:val="20"/>
        </w:rPr>
      </w:pPr>
      <w:r w:rsidRPr="00E0394E">
        <w:rPr>
          <w:rFonts w:ascii="Times" w:eastAsia="Calibri" w:hAnsi="Times"/>
          <w:sz w:val="20"/>
          <w:szCs w:val="20"/>
        </w:rPr>
        <w:t>Το νέο υπόδειγμα συναλλαγών αναμένεται ότι θα έχει ευεργετικές  επιδράσεις μεσοπρόθεσμα σε ότι αφορά στη διαφάνεια και την αποτελεσματικότητα των συναλλαγών αλλά και την καταπολέμηση της φοροδιαφυγής.</w:t>
      </w:r>
    </w:p>
    <w:p w:rsidR="00E0394E" w:rsidRPr="00E0394E" w:rsidRDefault="00E0394E" w:rsidP="00E0394E">
      <w:pPr>
        <w:numPr>
          <w:ilvl w:val="0"/>
          <w:numId w:val="14"/>
        </w:numPr>
        <w:spacing w:after="240" w:line="260" w:lineRule="atLeast"/>
        <w:contextualSpacing/>
        <w:jc w:val="both"/>
        <w:rPr>
          <w:rFonts w:ascii="Times" w:eastAsia="Calibri" w:hAnsi="Times"/>
          <w:sz w:val="20"/>
          <w:szCs w:val="20"/>
        </w:rPr>
      </w:pPr>
      <w:r w:rsidRPr="00E0394E">
        <w:rPr>
          <w:rFonts w:ascii="Times" w:eastAsia="Calibri" w:hAnsi="Times"/>
          <w:sz w:val="20"/>
          <w:szCs w:val="20"/>
        </w:rPr>
        <w:t>Ανεπίσημα στοιχεία δείχνουν ότι οι εγχώριες επιχειρήσεις που δραστηριοποιούνται στον εξωτερικό τομέα της οικονομίας επέδειξαν σημαντική προσαρμοστικότητα στο δυσχερέστερο περιβάλλον των περιορισμών στην κίνηση κεφαλαίων. Παρ’ όλα αυτά η ύπαρξη των πε</w:t>
      </w:r>
      <w:r w:rsidR="00E530F3">
        <w:rPr>
          <w:rFonts w:ascii="Times" w:eastAsia="Calibri" w:hAnsi="Times"/>
          <w:sz w:val="20"/>
          <w:szCs w:val="20"/>
        </w:rPr>
        <w:t>ριορισμών συνεπάγεται σημαντικ</w:t>
      </w:r>
      <w:r w:rsidR="00E530F3">
        <w:rPr>
          <w:rFonts w:asciiTheme="minorHAnsi" w:eastAsia="Calibri" w:hAnsiTheme="minorHAnsi"/>
          <w:sz w:val="20"/>
          <w:szCs w:val="20"/>
        </w:rPr>
        <w:t xml:space="preserve">ό </w:t>
      </w:r>
      <w:r w:rsidR="00E530F3">
        <w:rPr>
          <w:rFonts w:ascii="Times" w:eastAsia="Calibri" w:hAnsi="Times"/>
          <w:sz w:val="20"/>
          <w:szCs w:val="20"/>
        </w:rPr>
        <w:t>κόστ</w:t>
      </w:r>
      <w:r w:rsidR="00E530F3">
        <w:rPr>
          <w:rFonts w:asciiTheme="minorHAnsi" w:eastAsia="Calibri" w:hAnsiTheme="minorHAnsi"/>
          <w:sz w:val="20"/>
          <w:szCs w:val="20"/>
        </w:rPr>
        <w:t>ος</w:t>
      </w:r>
      <w:r w:rsidRPr="00E0394E">
        <w:rPr>
          <w:rFonts w:ascii="Times" w:eastAsia="Calibri" w:hAnsi="Times"/>
          <w:sz w:val="20"/>
          <w:szCs w:val="20"/>
        </w:rPr>
        <w:t xml:space="preserve"> για τις επιχειρήσεις και ιδιαίτερα τις μικρομεσαίες.</w:t>
      </w:r>
    </w:p>
    <w:p w:rsidR="00E0394E" w:rsidRPr="00E0394E" w:rsidRDefault="00E0394E" w:rsidP="00E0394E">
      <w:pPr>
        <w:numPr>
          <w:ilvl w:val="0"/>
          <w:numId w:val="14"/>
        </w:numPr>
        <w:spacing w:after="240" w:line="260" w:lineRule="atLeast"/>
        <w:contextualSpacing/>
        <w:jc w:val="both"/>
        <w:rPr>
          <w:rFonts w:ascii="Times" w:eastAsia="Calibri" w:hAnsi="Times"/>
          <w:sz w:val="20"/>
          <w:szCs w:val="20"/>
        </w:rPr>
      </w:pPr>
      <w:r w:rsidRPr="00E0394E">
        <w:rPr>
          <w:rFonts w:ascii="Times" w:eastAsia="Calibri" w:hAnsi="Times"/>
          <w:sz w:val="20"/>
          <w:szCs w:val="20"/>
        </w:rPr>
        <w:t xml:space="preserve">Η πρόσφατη εμπειρία της Κύπρου, της </w:t>
      </w:r>
      <w:r w:rsidR="0098513E" w:rsidRPr="00E0394E">
        <w:rPr>
          <w:rFonts w:ascii="Times" w:eastAsia="Calibri" w:hAnsi="Times"/>
          <w:sz w:val="20"/>
          <w:szCs w:val="20"/>
        </w:rPr>
        <w:t>πρώτη</w:t>
      </w:r>
      <w:r w:rsidR="0098513E">
        <w:rPr>
          <w:rFonts w:ascii="Times" w:eastAsia="Calibri" w:hAnsi="Times"/>
          <w:sz w:val="20"/>
          <w:szCs w:val="20"/>
        </w:rPr>
        <w:t>ς</w:t>
      </w:r>
      <w:r w:rsidR="0098513E" w:rsidRPr="00E0394E">
        <w:rPr>
          <w:rFonts w:ascii="Times" w:eastAsia="Calibri" w:hAnsi="Times"/>
          <w:sz w:val="20"/>
          <w:szCs w:val="20"/>
        </w:rPr>
        <w:t xml:space="preserve"> </w:t>
      </w:r>
      <w:r w:rsidRPr="00E0394E">
        <w:rPr>
          <w:rFonts w:ascii="Times" w:eastAsia="Calibri" w:hAnsi="Times"/>
          <w:sz w:val="20"/>
          <w:szCs w:val="20"/>
        </w:rPr>
        <w:t xml:space="preserve">οικονομίας </w:t>
      </w:r>
      <w:r w:rsidR="005304F3" w:rsidRPr="002D1722">
        <w:rPr>
          <w:rFonts w:ascii="Times" w:eastAsia="Calibri" w:hAnsi="Times"/>
          <w:sz w:val="20"/>
          <w:szCs w:val="20"/>
        </w:rPr>
        <w:t xml:space="preserve">στην ΟΝΕ </w:t>
      </w:r>
      <w:r w:rsidRPr="00E0394E">
        <w:rPr>
          <w:rFonts w:ascii="Times" w:eastAsia="Calibri" w:hAnsi="Times"/>
          <w:sz w:val="20"/>
          <w:szCs w:val="20"/>
        </w:rPr>
        <w:t xml:space="preserve">που εισήγαγε περιορισμούς στην </w:t>
      </w:r>
      <w:r w:rsidR="008D60E3">
        <w:rPr>
          <w:rFonts w:ascii="Times" w:eastAsia="Calibri" w:hAnsi="Times"/>
          <w:sz w:val="20"/>
          <w:szCs w:val="20"/>
        </w:rPr>
        <w:t>κίνηση</w:t>
      </w:r>
      <w:r w:rsidRPr="00E0394E">
        <w:rPr>
          <w:rFonts w:ascii="Times" w:eastAsia="Calibri" w:hAnsi="Times"/>
          <w:sz w:val="20"/>
          <w:szCs w:val="20"/>
        </w:rPr>
        <w:t xml:space="preserve"> των κεφα</w:t>
      </w:r>
      <w:r w:rsidR="005304F3" w:rsidRPr="002D1722">
        <w:rPr>
          <w:rFonts w:ascii="Times" w:eastAsia="Calibri" w:hAnsi="Times"/>
          <w:sz w:val="20"/>
          <w:szCs w:val="20"/>
        </w:rPr>
        <w:t xml:space="preserve">λαίων </w:t>
      </w:r>
      <w:r w:rsidRPr="00E0394E">
        <w:rPr>
          <w:rFonts w:ascii="Times" w:eastAsia="Calibri" w:hAnsi="Times"/>
          <w:sz w:val="20"/>
          <w:szCs w:val="20"/>
        </w:rPr>
        <w:t xml:space="preserve">το Μάρτιο του 2013 </w:t>
      </w:r>
      <w:r w:rsidR="005304F3" w:rsidRPr="002D1722">
        <w:rPr>
          <w:rFonts w:ascii="Times" w:eastAsia="Calibri" w:hAnsi="Times"/>
          <w:sz w:val="20"/>
          <w:szCs w:val="20"/>
        </w:rPr>
        <w:t xml:space="preserve">(και τους απέσυρε </w:t>
      </w:r>
      <w:r w:rsidR="00F1381C" w:rsidRPr="00F1381C">
        <w:rPr>
          <w:rFonts w:ascii="Times" w:eastAsia="Calibri" w:hAnsi="Times"/>
          <w:sz w:val="20"/>
          <w:szCs w:val="20"/>
        </w:rPr>
        <w:t>εξ</w:t>
      </w:r>
      <w:r w:rsidR="00F1381C">
        <w:rPr>
          <w:rFonts w:asciiTheme="minorHAnsi" w:eastAsia="Calibri" w:hAnsiTheme="minorHAnsi"/>
          <w:sz w:val="20"/>
          <w:szCs w:val="20"/>
        </w:rPr>
        <w:t xml:space="preserve"> </w:t>
      </w:r>
      <w:r w:rsidR="00F1381C" w:rsidRPr="00F1381C">
        <w:rPr>
          <w:rFonts w:ascii="Times" w:eastAsia="Calibri" w:hAnsi="Times"/>
          <w:sz w:val="20"/>
          <w:szCs w:val="20"/>
        </w:rPr>
        <w:t>ολοκλήρου</w:t>
      </w:r>
      <w:r w:rsidR="00F1381C">
        <w:rPr>
          <w:rFonts w:asciiTheme="minorHAnsi" w:eastAsia="Calibri" w:hAnsiTheme="minorHAnsi"/>
          <w:sz w:val="20"/>
          <w:szCs w:val="20"/>
        </w:rPr>
        <w:t xml:space="preserve"> </w:t>
      </w:r>
      <w:r w:rsidRPr="00E0394E">
        <w:rPr>
          <w:rFonts w:ascii="Times" w:eastAsia="Calibri" w:hAnsi="Times"/>
          <w:sz w:val="20"/>
          <w:szCs w:val="20"/>
        </w:rPr>
        <w:t xml:space="preserve"> μετά από μόλις δύο χρόνια</w:t>
      </w:r>
      <w:r w:rsidR="005304F3" w:rsidRPr="002D1722">
        <w:rPr>
          <w:rFonts w:ascii="Times" w:eastAsia="Calibri" w:hAnsi="Times"/>
          <w:sz w:val="20"/>
          <w:szCs w:val="20"/>
        </w:rPr>
        <w:t>)</w:t>
      </w:r>
      <w:r w:rsidRPr="00E0394E">
        <w:rPr>
          <w:rFonts w:ascii="Times" w:eastAsia="Calibri" w:hAnsi="Times"/>
          <w:sz w:val="20"/>
          <w:szCs w:val="20"/>
        </w:rPr>
        <w:t xml:space="preserve">, θα μπορούσε να </w:t>
      </w:r>
      <w:r w:rsidR="00A0049A">
        <w:rPr>
          <w:rFonts w:ascii="Times" w:eastAsia="Calibri" w:hAnsi="Times"/>
          <w:sz w:val="20"/>
          <w:szCs w:val="20"/>
        </w:rPr>
        <w:t>αποτελέσει οδηγό για την Ελλάδα.</w:t>
      </w:r>
    </w:p>
    <w:p w:rsidR="00E0394E" w:rsidRPr="00E0394E" w:rsidRDefault="00F1381C" w:rsidP="00E0394E">
      <w:pPr>
        <w:numPr>
          <w:ilvl w:val="1"/>
          <w:numId w:val="14"/>
        </w:numPr>
        <w:spacing w:after="240" w:line="260" w:lineRule="atLeast"/>
        <w:contextualSpacing/>
        <w:jc w:val="both"/>
        <w:rPr>
          <w:rFonts w:ascii="Times" w:eastAsia="Calibri" w:hAnsi="Times"/>
          <w:sz w:val="20"/>
          <w:szCs w:val="20"/>
        </w:rPr>
      </w:pPr>
      <w:r w:rsidRPr="00F1381C">
        <w:rPr>
          <w:rFonts w:ascii="Times" w:eastAsia="Calibri" w:hAnsi="Times"/>
          <w:sz w:val="20"/>
          <w:szCs w:val="20"/>
        </w:rPr>
        <w:t>Κατά κύριο λόγο, η</w:t>
      </w:r>
      <w:r w:rsidR="00E0394E" w:rsidRPr="00E0394E">
        <w:rPr>
          <w:rFonts w:ascii="Times" w:eastAsia="Calibri" w:hAnsi="Times"/>
          <w:sz w:val="20"/>
          <w:szCs w:val="20"/>
        </w:rPr>
        <w:t xml:space="preserve"> επιτυχία της Κ</w:t>
      </w:r>
      <w:r>
        <w:rPr>
          <w:rFonts w:ascii="Times" w:eastAsia="Calibri" w:hAnsi="Times"/>
          <w:sz w:val="20"/>
          <w:szCs w:val="20"/>
        </w:rPr>
        <w:t>ύπρου οφείλεται</w:t>
      </w:r>
      <w:r w:rsidRPr="00F1381C">
        <w:rPr>
          <w:rFonts w:ascii="Times" w:eastAsia="Calibri" w:hAnsi="Times"/>
          <w:sz w:val="20"/>
          <w:szCs w:val="20"/>
        </w:rPr>
        <w:t xml:space="preserve"> </w:t>
      </w:r>
      <w:r>
        <w:rPr>
          <w:rFonts w:ascii="Times" w:eastAsia="Calibri" w:hAnsi="Times"/>
          <w:sz w:val="20"/>
          <w:szCs w:val="20"/>
        </w:rPr>
        <w:t>σ</w:t>
      </w:r>
      <w:r w:rsidRPr="00F1381C">
        <w:rPr>
          <w:rFonts w:ascii="Times" w:eastAsia="Calibri" w:hAnsi="Times"/>
          <w:sz w:val="20"/>
          <w:szCs w:val="20"/>
        </w:rPr>
        <w:t>το</w:t>
      </w:r>
      <w:r w:rsidR="00E0394E" w:rsidRPr="00E0394E">
        <w:rPr>
          <w:rFonts w:ascii="Times" w:eastAsia="Calibri" w:hAnsi="Times"/>
          <w:sz w:val="20"/>
          <w:szCs w:val="20"/>
        </w:rPr>
        <w:t xml:space="preserve"> μεγάλο βαθμό </w:t>
      </w:r>
      <w:r w:rsidR="00E0394E" w:rsidRPr="00E0394E">
        <w:rPr>
          <w:rFonts w:ascii="Times" w:eastAsia="Calibri" w:hAnsi="Times"/>
          <w:i/>
          <w:sz w:val="20"/>
          <w:szCs w:val="20"/>
        </w:rPr>
        <w:t>ιδιοκτησίας</w:t>
      </w:r>
      <w:r w:rsidR="00E0394E" w:rsidRPr="00E0394E">
        <w:rPr>
          <w:rFonts w:ascii="Times" w:eastAsia="Calibri" w:hAnsi="Times"/>
          <w:sz w:val="20"/>
          <w:szCs w:val="20"/>
        </w:rPr>
        <w:t xml:space="preserve"> του προγράμματος οικονομικής προσαρμογής από τις </w:t>
      </w:r>
      <w:r w:rsidRPr="00F1381C">
        <w:rPr>
          <w:rFonts w:ascii="Times" w:eastAsia="Calibri" w:hAnsi="Times"/>
          <w:sz w:val="20"/>
          <w:szCs w:val="20"/>
        </w:rPr>
        <w:t xml:space="preserve">εγχώριες </w:t>
      </w:r>
      <w:r>
        <w:rPr>
          <w:rFonts w:ascii="Times" w:eastAsia="Calibri" w:hAnsi="Times"/>
          <w:sz w:val="20"/>
          <w:szCs w:val="20"/>
        </w:rPr>
        <w:t>αρχές και την υποστήριξ</w:t>
      </w:r>
      <w:r w:rsidRPr="00F1381C">
        <w:rPr>
          <w:rFonts w:ascii="Times" w:eastAsia="Calibri" w:hAnsi="Times"/>
          <w:sz w:val="20"/>
          <w:szCs w:val="20"/>
        </w:rPr>
        <w:t>ή</w:t>
      </w:r>
      <w:r w:rsidR="00E0394E" w:rsidRPr="00E0394E">
        <w:rPr>
          <w:rFonts w:ascii="Times" w:eastAsia="Calibri" w:hAnsi="Times"/>
          <w:sz w:val="20"/>
          <w:szCs w:val="20"/>
        </w:rPr>
        <w:t xml:space="preserve"> </w:t>
      </w:r>
      <w:r w:rsidRPr="00F1381C">
        <w:rPr>
          <w:rFonts w:ascii="Times" w:eastAsia="Calibri" w:hAnsi="Times"/>
          <w:sz w:val="20"/>
          <w:szCs w:val="20"/>
        </w:rPr>
        <w:t>του από ευρύ</w:t>
      </w:r>
      <w:r>
        <w:rPr>
          <w:rFonts w:ascii="Times" w:eastAsia="Calibri" w:hAnsi="Times"/>
          <w:sz w:val="20"/>
          <w:szCs w:val="20"/>
        </w:rPr>
        <w:t xml:space="preserve"> φάσμα</w:t>
      </w:r>
      <w:r w:rsidRPr="00F1381C">
        <w:rPr>
          <w:rFonts w:ascii="Times" w:eastAsia="Calibri" w:hAnsi="Times"/>
          <w:sz w:val="20"/>
          <w:szCs w:val="20"/>
        </w:rPr>
        <w:t xml:space="preserve"> </w:t>
      </w:r>
      <w:r w:rsidR="00E0394E" w:rsidRPr="00E0394E">
        <w:rPr>
          <w:rFonts w:ascii="Times" w:eastAsia="Calibri" w:hAnsi="Times"/>
          <w:sz w:val="20"/>
          <w:szCs w:val="20"/>
        </w:rPr>
        <w:t>πολιτικών δ</w:t>
      </w:r>
      <w:r>
        <w:rPr>
          <w:rFonts w:ascii="Times" w:eastAsia="Calibri" w:hAnsi="Times"/>
          <w:sz w:val="20"/>
          <w:szCs w:val="20"/>
        </w:rPr>
        <w:t>υνάμεων</w:t>
      </w:r>
      <w:r w:rsidRPr="00F1381C">
        <w:rPr>
          <w:rFonts w:ascii="Times" w:eastAsia="Calibri" w:hAnsi="Times"/>
          <w:sz w:val="20"/>
          <w:szCs w:val="20"/>
        </w:rPr>
        <w:t xml:space="preserve">. Μπορεί επίσης </w:t>
      </w:r>
      <w:r>
        <w:rPr>
          <w:rFonts w:ascii="Times" w:eastAsia="Calibri" w:hAnsi="Times"/>
          <w:sz w:val="20"/>
          <w:szCs w:val="20"/>
        </w:rPr>
        <w:t>να αποδοθεί</w:t>
      </w:r>
      <w:r w:rsidRPr="00F1381C">
        <w:rPr>
          <w:rFonts w:ascii="Times" w:eastAsia="Calibri" w:hAnsi="Times"/>
          <w:sz w:val="20"/>
          <w:szCs w:val="20"/>
        </w:rPr>
        <w:t xml:space="preserve"> </w:t>
      </w:r>
      <w:r>
        <w:rPr>
          <w:rFonts w:ascii="Times" w:eastAsia="Calibri" w:hAnsi="Times"/>
          <w:sz w:val="20"/>
          <w:szCs w:val="20"/>
        </w:rPr>
        <w:t>στην υψηλή ποιότητα τ</w:t>
      </w:r>
      <w:r w:rsidRPr="00F1381C">
        <w:rPr>
          <w:rFonts w:ascii="Times" w:eastAsia="Calibri" w:hAnsi="Times"/>
          <w:sz w:val="20"/>
          <w:szCs w:val="20"/>
        </w:rPr>
        <w:t>ου</w:t>
      </w:r>
      <w:r>
        <w:rPr>
          <w:rFonts w:ascii="Times" w:eastAsia="Calibri" w:hAnsi="Times"/>
          <w:sz w:val="20"/>
          <w:szCs w:val="20"/>
        </w:rPr>
        <w:t xml:space="preserve"> θεσμ</w:t>
      </w:r>
      <w:r w:rsidRPr="00F1381C">
        <w:rPr>
          <w:rFonts w:ascii="Times" w:eastAsia="Calibri" w:hAnsi="Times"/>
          <w:sz w:val="20"/>
          <w:szCs w:val="20"/>
        </w:rPr>
        <w:t>ικού της πλαισίου</w:t>
      </w:r>
      <w:r w:rsidR="00E0394E" w:rsidRPr="00E0394E">
        <w:rPr>
          <w:rFonts w:ascii="Times" w:eastAsia="Calibri" w:hAnsi="Times"/>
          <w:sz w:val="20"/>
          <w:szCs w:val="20"/>
        </w:rPr>
        <w:t xml:space="preserve"> </w:t>
      </w:r>
      <w:r w:rsidRPr="00F1381C">
        <w:rPr>
          <w:rFonts w:ascii="Times" w:eastAsia="Calibri" w:hAnsi="Times"/>
          <w:sz w:val="20"/>
          <w:szCs w:val="20"/>
        </w:rPr>
        <w:t>καθώς και την</w:t>
      </w:r>
      <w:r w:rsidR="00E0394E" w:rsidRPr="00E0394E">
        <w:rPr>
          <w:rFonts w:ascii="Times" w:eastAsia="Calibri" w:hAnsi="Times"/>
          <w:sz w:val="20"/>
          <w:szCs w:val="20"/>
        </w:rPr>
        <w:t xml:space="preserve"> </w:t>
      </w:r>
      <w:r w:rsidRPr="00F1381C">
        <w:rPr>
          <w:rFonts w:ascii="Times" w:eastAsia="Calibri" w:hAnsi="Times"/>
          <w:sz w:val="20"/>
          <w:szCs w:val="20"/>
        </w:rPr>
        <w:t xml:space="preserve">επάρκεια της </w:t>
      </w:r>
      <w:r w:rsidR="00E0394E" w:rsidRPr="00E0394E">
        <w:rPr>
          <w:rFonts w:ascii="Times" w:eastAsia="Calibri" w:hAnsi="Times"/>
          <w:sz w:val="20"/>
          <w:szCs w:val="20"/>
        </w:rPr>
        <w:t>δημόσιας διοίκησης σε ότι αφορά την εφαρμογή των μεταρρυθμίσεων</w:t>
      </w:r>
      <w:r>
        <w:rPr>
          <w:rFonts w:ascii="Times" w:eastAsia="Calibri" w:hAnsi="Times"/>
          <w:sz w:val="20"/>
          <w:szCs w:val="20"/>
        </w:rPr>
        <w:t>.</w:t>
      </w:r>
    </w:p>
    <w:p w:rsidR="00A0049A" w:rsidRPr="00A0049A" w:rsidRDefault="00F1381C" w:rsidP="00E0394E">
      <w:pPr>
        <w:numPr>
          <w:ilvl w:val="1"/>
          <w:numId w:val="14"/>
        </w:numPr>
        <w:spacing w:after="240" w:line="260" w:lineRule="atLeast"/>
        <w:contextualSpacing/>
        <w:jc w:val="both"/>
        <w:rPr>
          <w:rFonts w:ascii="Times" w:eastAsia="Calibri" w:hAnsi="Times"/>
          <w:sz w:val="20"/>
          <w:szCs w:val="20"/>
        </w:rPr>
      </w:pPr>
      <w:r>
        <w:rPr>
          <w:rFonts w:ascii="Times" w:eastAsia="Calibri" w:hAnsi="Times"/>
          <w:sz w:val="20"/>
          <w:szCs w:val="20"/>
        </w:rPr>
        <w:t xml:space="preserve">Η </w:t>
      </w:r>
      <w:r w:rsidRPr="00F1381C">
        <w:rPr>
          <w:rFonts w:ascii="Times" w:eastAsia="Calibri" w:hAnsi="Times"/>
          <w:sz w:val="20"/>
          <w:szCs w:val="20"/>
        </w:rPr>
        <w:t xml:space="preserve">εξέλιξη </w:t>
      </w:r>
      <w:r w:rsidR="00E0394E" w:rsidRPr="00E0394E">
        <w:rPr>
          <w:rFonts w:ascii="Times" w:eastAsia="Calibri" w:hAnsi="Times"/>
          <w:sz w:val="20"/>
          <w:szCs w:val="20"/>
        </w:rPr>
        <w:t xml:space="preserve">της οικονομίας της Κύπρου </w:t>
      </w:r>
      <w:r w:rsidRPr="00F1381C">
        <w:rPr>
          <w:rFonts w:ascii="Times" w:eastAsia="Calibri" w:hAnsi="Times"/>
          <w:sz w:val="20"/>
          <w:szCs w:val="20"/>
        </w:rPr>
        <w:t>μετά την επιβολή</w:t>
      </w:r>
      <w:r w:rsidRPr="00E0394E">
        <w:rPr>
          <w:rFonts w:ascii="Times" w:eastAsia="Calibri" w:hAnsi="Times"/>
          <w:sz w:val="20"/>
          <w:szCs w:val="20"/>
        </w:rPr>
        <w:t xml:space="preserve"> των περιορισμών στην κίνη</w:t>
      </w:r>
      <w:r w:rsidRPr="00F1381C">
        <w:rPr>
          <w:rFonts w:ascii="Times" w:eastAsia="Calibri" w:hAnsi="Times"/>
          <w:sz w:val="20"/>
          <w:szCs w:val="20"/>
        </w:rPr>
        <w:t>ση κεφαλαίων</w:t>
      </w:r>
      <w:r w:rsidRPr="00E0394E">
        <w:rPr>
          <w:rFonts w:ascii="Times" w:eastAsia="Calibri" w:hAnsi="Times"/>
          <w:sz w:val="20"/>
          <w:szCs w:val="20"/>
        </w:rPr>
        <w:t xml:space="preserve"> </w:t>
      </w:r>
      <w:r w:rsidR="00E0394E" w:rsidRPr="00E0394E">
        <w:rPr>
          <w:rFonts w:ascii="Times" w:eastAsia="Calibri" w:hAnsi="Times"/>
          <w:sz w:val="20"/>
          <w:szCs w:val="20"/>
        </w:rPr>
        <w:t xml:space="preserve">υπερέβη τις αρχικές εκτιμήσεις των αναλυτών και των θεσμών. Η απότομη απώλεια πλούτου από το </w:t>
      </w:r>
      <w:proofErr w:type="spellStart"/>
      <w:r w:rsidR="00E0394E" w:rsidRPr="00E0394E">
        <w:rPr>
          <w:rFonts w:ascii="Times" w:eastAsia="Calibri" w:hAnsi="Times"/>
          <w:sz w:val="20"/>
          <w:szCs w:val="20"/>
        </w:rPr>
        <w:t>bail</w:t>
      </w:r>
      <w:proofErr w:type="spellEnd"/>
      <w:r w:rsidR="00E0394E" w:rsidRPr="00E0394E">
        <w:rPr>
          <w:rFonts w:ascii="Times" w:eastAsia="Calibri" w:hAnsi="Times"/>
          <w:sz w:val="20"/>
          <w:szCs w:val="20"/>
        </w:rPr>
        <w:t>-in δεν επέδρασε τόσο αρνητικά στην εσωτερική κ</w:t>
      </w:r>
      <w:r w:rsidR="00A0049A">
        <w:rPr>
          <w:rFonts w:ascii="Times" w:eastAsia="Calibri" w:hAnsi="Times"/>
          <w:sz w:val="20"/>
          <w:szCs w:val="20"/>
        </w:rPr>
        <w:t xml:space="preserve">ατανάλωση όσο αρχικά </w:t>
      </w:r>
      <w:r w:rsidR="00A0049A" w:rsidRPr="00A0049A">
        <w:rPr>
          <w:rFonts w:ascii="Times" w:eastAsia="Calibri" w:hAnsi="Times"/>
          <w:sz w:val="20"/>
          <w:szCs w:val="20"/>
        </w:rPr>
        <w:t>προβλεπόταν</w:t>
      </w:r>
      <w:r w:rsidR="00A0049A">
        <w:rPr>
          <w:rFonts w:ascii="Times" w:eastAsia="Calibri" w:hAnsi="Times"/>
          <w:sz w:val="20"/>
          <w:szCs w:val="20"/>
        </w:rPr>
        <w:t xml:space="preserve"> </w:t>
      </w:r>
      <w:r w:rsidR="00A0049A" w:rsidRPr="00A0049A">
        <w:rPr>
          <w:rFonts w:ascii="Times" w:eastAsia="Calibri" w:hAnsi="Times"/>
          <w:sz w:val="20"/>
          <w:szCs w:val="20"/>
        </w:rPr>
        <w:t>καθώς</w:t>
      </w:r>
      <w:r w:rsidR="00E0394E" w:rsidRPr="00E0394E">
        <w:rPr>
          <w:rFonts w:ascii="Times" w:eastAsia="Calibri" w:hAnsi="Times"/>
          <w:sz w:val="20"/>
          <w:szCs w:val="20"/>
        </w:rPr>
        <w:t xml:space="preserve"> το </w:t>
      </w:r>
      <w:r w:rsidR="00A0049A" w:rsidRPr="00A0049A">
        <w:rPr>
          <w:rFonts w:ascii="Times" w:eastAsia="Calibri" w:hAnsi="Times"/>
          <w:sz w:val="20"/>
          <w:szCs w:val="20"/>
        </w:rPr>
        <w:t xml:space="preserve">σχετικό </w:t>
      </w:r>
      <w:r w:rsidR="00E0394E" w:rsidRPr="00E0394E">
        <w:rPr>
          <w:rFonts w:ascii="Times" w:eastAsia="Calibri" w:hAnsi="Times"/>
          <w:sz w:val="20"/>
          <w:szCs w:val="20"/>
        </w:rPr>
        <w:t>κόστος επιμερίστηκε κυρίως σε ξένους  καταθέτες, οι οποίοι παρά τις απώλειες που υπέστησαν, δεν εγκατέλειψαν το νησί.  Επιπρόσθετα, οικονομικοί κλάδοι που αποτελούν την ραχοκοκαλιά της τοπικής οικονομίας όπως ο τουρισμός και οι επαγγελματικές υπηρεσίες δεν υπέστησαν ανεπανόρθωτα  πλήγματα από την τραπεζική κρίση, ε</w:t>
      </w:r>
      <w:r w:rsidR="00A0049A">
        <w:rPr>
          <w:rFonts w:ascii="Times" w:eastAsia="Calibri" w:hAnsi="Times"/>
          <w:sz w:val="20"/>
          <w:szCs w:val="20"/>
        </w:rPr>
        <w:t>ξακολουθώντας να την στηρίζουν.</w:t>
      </w:r>
    </w:p>
    <w:p w:rsidR="00E0394E" w:rsidRPr="00E0394E" w:rsidRDefault="00E0394E" w:rsidP="00E0394E">
      <w:pPr>
        <w:numPr>
          <w:ilvl w:val="1"/>
          <w:numId w:val="14"/>
        </w:numPr>
        <w:spacing w:after="240" w:line="260" w:lineRule="atLeast"/>
        <w:contextualSpacing/>
        <w:jc w:val="both"/>
        <w:rPr>
          <w:rFonts w:ascii="Times" w:eastAsia="Calibri" w:hAnsi="Times"/>
          <w:sz w:val="20"/>
          <w:szCs w:val="20"/>
        </w:rPr>
      </w:pPr>
      <w:r w:rsidRPr="00E0394E">
        <w:rPr>
          <w:rFonts w:ascii="Times" w:eastAsia="Calibri" w:hAnsi="Times"/>
          <w:sz w:val="20"/>
          <w:szCs w:val="20"/>
        </w:rPr>
        <w:t xml:space="preserve">Σε σχέση με την αντίστοιχη εμπειρία στην Ελλάδα οι αρχικές μακροοικονομικές ανισορροπίες της </w:t>
      </w:r>
      <w:r w:rsidR="00A0049A" w:rsidRPr="00A0049A">
        <w:rPr>
          <w:rFonts w:ascii="Times" w:eastAsia="Calibri" w:hAnsi="Times"/>
          <w:sz w:val="20"/>
          <w:szCs w:val="20"/>
        </w:rPr>
        <w:t xml:space="preserve">Κυπριακής </w:t>
      </w:r>
      <w:r w:rsidRPr="00E0394E">
        <w:rPr>
          <w:rFonts w:ascii="Times" w:eastAsia="Calibri" w:hAnsi="Times"/>
          <w:sz w:val="20"/>
          <w:szCs w:val="20"/>
        </w:rPr>
        <w:t xml:space="preserve">οικονομίας, πέραν του τραπεζικού </w:t>
      </w:r>
      <w:r w:rsidR="00A0049A" w:rsidRPr="00A0049A">
        <w:rPr>
          <w:rFonts w:ascii="Times" w:eastAsia="Calibri" w:hAnsi="Times"/>
          <w:sz w:val="20"/>
          <w:szCs w:val="20"/>
        </w:rPr>
        <w:t>κλάδου</w:t>
      </w:r>
      <w:r w:rsidRPr="00E0394E">
        <w:rPr>
          <w:rFonts w:ascii="Times" w:eastAsia="Calibri" w:hAnsi="Times"/>
          <w:sz w:val="20"/>
          <w:szCs w:val="20"/>
        </w:rPr>
        <w:t>, δεν ήταν τόσο σημαντικές.</w:t>
      </w:r>
    </w:p>
    <w:p w:rsidR="00E0394E" w:rsidRPr="00E0394E" w:rsidRDefault="00E0394E" w:rsidP="00E0394E">
      <w:pPr>
        <w:numPr>
          <w:ilvl w:val="1"/>
          <w:numId w:val="14"/>
        </w:numPr>
        <w:spacing w:after="240" w:line="260" w:lineRule="atLeast"/>
        <w:contextualSpacing/>
        <w:jc w:val="both"/>
        <w:rPr>
          <w:rFonts w:ascii="Times" w:eastAsia="Calibri" w:hAnsi="Times"/>
          <w:sz w:val="20"/>
          <w:szCs w:val="20"/>
        </w:rPr>
      </w:pPr>
      <w:r w:rsidRPr="00E0394E">
        <w:rPr>
          <w:rFonts w:ascii="Times" w:eastAsia="Calibri" w:hAnsi="Times"/>
          <w:sz w:val="20"/>
          <w:szCs w:val="20"/>
        </w:rPr>
        <w:t>Η Ελλάδα είναι αναγκαίο να αυξήσει το βαθμό ιδιοκτησίας του προγράμματος οικονομικής προσαρμογής, να επιταχύνει την εφαρμογή των διαθρωτικών μεταρρυθ</w:t>
      </w:r>
      <w:r w:rsidR="00A0049A">
        <w:rPr>
          <w:rFonts w:ascii="Times" w:eastAsia="Calibri" w:hAnsi="Times"/>
          <w:sz w:val="20"/>
          <w:szCs w:val="20"/>
        </w:rPr>
        <w:t>μίσεων και να επικοινωνήσει αποτελεσματικ</w:t>
      </w:r>
      <w:r w:rsidR="00A0049A" w:rsidRPr="00A0049A">
        <w:rPr>
          <w:rFonts w:ascii="Times" w:eastAsia="Calibri" w:hAnsi="Times"/>
          <w:sz w:val="20"/>
          <w:szCs w:val="20"/>
        </w:rPr>
        <w:t>ότερα</w:t>
      </w:r>
      <w:r w:rsidRPr="00E0394E">
        <w:rPr>
          <w:rFonts w:ascii="Times" w:eastAsia="Calibri" w:hAnsi="Times"/>
          <w:sz w:val="20"/>
          <w:szCs w:val="20"/>
        </w:rPr>
        <w:t xml:space="preserve"> στον πληθυσμό την αναγκαιότητα της απαιτούμενης προσαρμογής. </w:t>
      </w:r>
    </w:p>
    <w:p w:rsidR="00E0394E" w:rsidRPr="00E0394E" w:rsidRDefault="00E0394E" w:rsidP="00E0394E">
      <w:pPr>
        <w:numPr>
          <w:ilvl w:val="1"/>
          <w:numId w:val="14"/>
        </w:numPr>
        <w:spacing w:after="240" w:line="260" w:lineRule="atLeast"/>
        <w:contextualSpacing/>
        <w:jc w:val="both"/>
        <w:rPr>
          <w:rFonts w:ascii="Times" w:eastAsia="Calibri" w:hAnsi="Times"/>
          <w:sz w:val="20"/>
          <w:szCs w:val="20"/>
        </w:rPr>
      </w:pPr>
      <w:r w:rsidRPr="00E0394E">
        <w:rPr>
          <w:rFonts w:ascii="Times" w:eastAsia="Calibri" w:hAnsi="Times"/>
          <w:sz w:val="20"/>
          <w:szCs w:val="20"/>
        </w:rPr>
        <w:t xml:space="preserve">Η εμπειρία της Κύπρου δείχνει ότι ένα σχέδιο δράσης – </w:t>
      </w:r>
      <w:r w:rsidR="00FF3A0B">
        <w:rPr>
          <w:rFonts w:ascii="Times" w:eastAsia="Calibri" w:hAnsi="Times"/>
          <w:sz w:val="20"/>
          <w:szCs w:val="20"/>
        </w:rPr>
        <w:t xml:space="preserve">σαν και αυτό </w:t>
      </w:r>
      <w:r w:rsidRPr="00E0394E">
        <w:rPr>
          <w:rFonts w:ascii="Times" w:eastAsia="Calibri" w:hAnsi="Times"/>
          <w:sz w:val="20"/>
          <w:szCs w:val="20"/>
        </w:rPr>
        <w:t>που</w:t>
      </w:r>
      <w:r w:rsidR="00FF3A0B">
        <w:rPr>
          <w:rFonts w:ascii="Times" w:eastAsia="Calibri" w:hAnsi="Times"/>
          <w:sz w:val="20"/>
          <w:szCs w:val="20"/>
        </w:rPr>
        <w:t xml:space="preserve"> </w:t>
      </w:r>
      <w:r w:rsidRPr="00E0394E">
        <w:rPr>
          <w:rFonts w:ascii="Times" w:eastAsia="Calibri" w:hAnsi="Times"/>
          <w:sz w:val="20"/>
          <w:szCs w:val="20"/>
        </w:rPr>
        <w:t xml:space="preserve">συντάχθηκε </w:t>
      </w:r>
      <w:r w:rsidR="00FF3A0B">
        <w:rPr>
          <w:rFonts w:ascii="Times" w:eastAsia="Calibri" w:hAnsi="Times"/>
          <w:sz w:val="20"/>
          <w:szCs w:val="20"/>
        </w:rPr>
        <w:t>σε συνεργασία με</w:t>
      </w:r>
      <w:r w:rsidR="00FF3A0B" w:rsidRPr="00E0394E">
        <w:rPr>
          <w:rFonts w:ascii="Times" w:eastAsia="Calibri" w:hAnsi="Times"/>
          <w:sz w:val="20"/>
          <w:szCs w:val="20"/>
        </w:rPr>
        <w:t xml:space="preserve"> τους θεσμούς </w:t>
      </w:r>
      <w:r w:rsidRPr="00E0394E">
        <w:rPr>
          <w:rFonts w:ascii="Times" w:eastAsia="Calibri" w:hAnsi="Times"/>
          <w:sz w:val="20"/>
          <w:szCs w:val="20"/>
        </w:rPr>
        <w:t>στα αρχικά στάδια του προγράμματος προσαρμογής</w:t>
      </w:r>
      <w:r w:rsidR="00FF3A0B">
        <w:rPr>
          <w:rFonts w:ascii="Times" w:eastAsia="Calibri" w:hAnsi="Times"/>
          <w:sz w:val="20"/>
          <w:szCs w:val="20"/>
        </w:rPr>
        <w:t xml:space="preserve"> </w:t>
      </w:r>
      <w:r w:rsidRPr="00E0394E">
        <w:rPr>
          <w:rFonts w:ascii="Times" w:eastAsia="Calibri" w:hAnsi="Times"/>
          <w:sz w:val="20"/>
          <w:szCs w:val="20"/>
        </w:rPr>
        <w:t xml:space="preserve">– και που εμπεριείχε όλα </w:t>
      </w:r>
      <w:r w:rsidR="00FF3A0B">
        <w:rPr>
          <w:rFonts w:ascii="Times" w:eastAsia="Calibri" w:hAnsi="Times"/>
          <w:sz w:val="20"/>
          <w:szCs w:val="20"/>
        </w:rPr>
        <w:t xml:space="preserve">τα απαραίτητα </w:t>
      </w:r>
      <w:r w:rsidRPr="00E0394E">
        <w:rPr>
          <w:rFonts w:ascii="Times" w:eastAsia="Calibri" w:hAnsi="Times"/>
          <w:sz w:val="20"/>
          <w:szCs w:val="20"/>
        </w:rPr>
        <w:t xml:space="preserve">ορόσημα </w:t>
      </w:r>
      <w:r w:rsidR="00FF3A0B">
        <w:rPr>
          <w:rFonts w:ascii="Times" w:eastAsia="Calibri" w:hAnsi="Times"/>
          <w:sz w:val="20"/>
          <w:szCs w:val="20"/>
        </w:rPr>
        <w:t>και πολιτικές που θα οδηγούσαν στην πλήρη άρση</w:t>
      </w:r>
      <w:r w:rsidRPr="00E0394E">
        <w:rPr>
          <w:rFonts w:ascii="Times" w:eastAsia="Calibri" w:hAnsi="Times"/>
          <w:sz w:val="20"/>
          <w:szCs w:val="20"/>
        </w:rPr>
        <w:t xml:space="preserve"> των κεφαλαιακών περιορισμών, </w:t>
      </w:r>
      <w:r w:rsidR="00FF3A0B">
        <w:rPr>
          <w:rFonts w:ascii="Times" w:eastAsia="Calibri" w:hAnsi="Times"/>
          <w:sz w:val="20"/>
          <w:szCs w:val="20"/>
        </w:rPr>
        <w:t xml:space="preserve">θα </w:t>
      </w:r>
      <w:r w:rsidRPr="00E0394E">
        <w:rPr>
          <w:rFonts w:ascii="Times" w:eastAsia="Calibri" w:hAnsi="Times"/>
          <w:sz w:val="20"/>
          <w:szCs w:val="20"/>
        </w:rPr>
        <w:t>μπο</w:t>
      </w:r>
      <w:r w:rsidR="00FF3A0B">
        <w:rPr>
          <w:rFonts w:ascii="Times" w:eastAsia="Calibri" w:hAnsi="Times"/>
          <w:sz w:val="20"/>
          <w:szCs w:val="20"/>
        </w:rPr>
        <w:t>ρούσε να βοηθήσει στην</w:t>
      </w:r>
      <w:r w:rsidRPr="00E0394E">
        <w:rPr>
          <w:rFonts w:ascii="Times" w:eastAsia="Calibri" w:hAnsi="Times"/>
          <w:sz w:val="20"/>
          <w:szCs w:val="20"/>
        </w:rPr>
        <w:t xml:space="preserve"> </w:t>
      </w:r>
      <w:r w:rsidR="00FF3A0B">
        <w:rPr>
          <w:rFonts w:ascii="Times" w:eastAsia="Calibri" w:hAnsi="Times"/>
          <w:sz w:val="20"/>
          <w:szCs w:val="20"/>
        </w:rPr>
        <w:t>ταχύτερη βελτίωση</w:t>
      </w:r>
      <w:r w:rsidRPr="00E0394E">
        <w:rPr>
          <w:rFonts w:ascii="Times" w:eastAsia="Calibri" w:hAnsi="Times"/>
          <w:sz w:val="20"/>
          <w:szCs w:val="20"/>
        </w:rPr>
        <w:t xml:space="preserve"> των προσδοκιών των καταθετών και να </w:t>
      </w:r>
      <w:r w:rsidR="00FF3A0B">
        <w:rPr>
          <w:rFonts w:ascii="Times" w:eastAsia="Calibri" w:hAnsi="Times"/>
          <w:sz w:val="20"/>
          <w:szCs w:val="20"/>
        </w:rPr>
        <w:t xml:space="preserve">αποτελέσει χρήσιμο οδηγό διαμόρφωσης </w:t>
      </w:r>
      <w:r w:rsidRPr="00E0394E">
        <w:rPr>
          <w:rFonts w:ascii="Times" w:eastAsia="Calibri" w:hAnsi="Times"/>
          <w:sz w:val="20"/>
          <w:szCs w:val="20"/>
        </w:rPr>
        <w:t xml:space="preserve">οικονομικής πολιτικής </w:t>
      </w:r>
      <w:r w:rsidR="00FF3A0B">
        <w:rPr>
          <w:rFonts w:ascii="Times" w:eastAsia="Calibri" w:hAnsi="Times"/>
          <w:sz w:val="20"/>
          <w:szCs w:val="20"/>
        </w:rPr>
        <w:t xml:space="preserve">από τους ιθύνοντες φορείς. </w:t>
      </w:r>
      <w:r w:rsidRPr="00E0394E">
        <w:rPr>
          <w:rFonts w:ascii="Times" w:eastAsia="Calibri" w:hAnsi="Times"/>
          <w:sz w:val="20"/>
          <w:szCs w:val="20"/>
        </w:rPr>
        <w:t xml:space="preserve">Ένας τέτοιος οδικός χάρτης </w:t>
      </w:r>
      <w:r w:rsidR="00A0049A" w:rsidRPr="00A0049A">
        <w:rPr>
          <w:rFonts w:ascii="Times" w:eastAsia="Calibri" w:hAnsi="Times"/>
          <w:sz w:val="20"/>
          <w:szCs w:val="20"/>
        </w:rPr>
        <w:t xml:space="preserve">φαίνεται να </w:t>
      </w:r>
      <w:r w:rsidRPr="00E0394E">
        <w:rPr>
          <w:rFonts w:ascii="Times" w:eastAsia="Calibri" w:hAnsi="Times"/>
          <w:sz w:val="20"/>
          <w:szCs w:val="20"/>
        </w:rPr>
        <w:t xml:space="preserve">απουσιάζει σήμερα </w:t>
      </w:r>
      <w:r w:rsidR="00A0049A" w:rsidRPr="00A0049A">
        <w:rPr>
          <w:rFonts w:ascii="Times" w:eastAsia="Calibri" w:hAnsi="Times"/>
          <w:sz w:val="20"/>
          <w:szCs w:val="20"/>
        </w:rPr>
        <w:t>από την</w:t>
      </w:r>
      <w:r w:rsidR="00A0049A">
        <w:rPr>
          <w:rFonts w:ascii="Times" w:eastAsia="Calibri" w:hAnsi="Times"/>
          <w:sz w:val="20"/>
          <w:szCs w:val="20"/>
        </w:rPr>
        <w:t xml:space="preserve"> Ελλάδα</w:t>
      </w:r>
      <w:r w:rsidRPr="00E0394E">
        <w:rPr>
          <w:rFonts w:ascii="Times" w:eastAsia="Calibri" w:hAnsi="Times"/>
          <w:sz w:val="20"/>
          <w:szCs w:val="20"/>
        </w:rPr>
        <w:t>. </w:t>
      </w:r>
    </w:p>
    <w:p w:rsidR="00E0394E" w:rsidRPr="00E0394E" w:rsidRDefault="00535421" w:rsidP="00E0394E">
      <w:pPr>
        <w:numPr>
          <w:ilvl w:val="0"/>
          <w:numId w:val="14"/>
        </w:numPr>
        <w:spacing w:after="240" w:line="260" w:lineRule="atLeast"/>
        <w:contextualSpacing/>
        <w:jc w:val="both"/>
        <w:rPr>
          <w:rFonts w:ascii="Times" w:eastAsia="Calibri" w:hAnsi="Times"/>
          <w:sz w:val="20"/>
          <w:szCs w:val="20"/>
        </w:rPr>
      </w:pPr>
      <w:r>
        <w:rPr>
          <w:rFonts w:ascii="Times" w:eastAsia="Calibri" w:hAnsi="Times"/>
          <w:sz w:val="20"/>
          <w:szCs w:val="20"/>
        </w:rPr>
        <w:t xml:space="preserve">Συμπερασματικά, η χρονική διάρκεια της διαδικασίας σταδιακής άρσης </w:t>
      </w:r>
      <w:r w:rsidR="00E0394E" w:rsidRPr="00E0394E">
        <w:rPr>
          <w:rFonts w:ascii="Times" w:eastAsia="Calibri" w:hAnsi="Times"/>
          <w:sz w:val="20"/>
          <w:szCs w:val="20"/>
        </w:rPr>
        <w:t xml:space="preserve">των </w:t>
      </w:r>
      <w:r>
        <w:rPr>
          <w:rFonts w:ascii="Times" w:eastAsia="Calibri" w:hAnsi="Times"/>
          <w:sz w:val="20"/>
          <w:szCs w:val="20"/>
        </w:rPr>
        <w:t xml:space="preserve">υφιστάμενων </w:t>
      </w:r>
      <w:r w:rsidR="00E0394E" w:rsidRPr="00E0394E">
        <w:rPr>
          <w:rFonts w:ascii="Times" w:eastAsia="Calibri" w:hAnsi="Times"/>
          <w:sz w:val="20"/>
          <w:szCs w:val="20"/>
        </w:rPr>
        <w:t xml:space="preserve">περιορισμών στην κίνηση κεφαλαίων </w:t>
      </w:r>
      <w:r>
        <w:rPr>
          <w:rFonts w:ascii="Times" w:eastAsia="Calibri" w:hAnsi="Times"/>
          <w:sz w:val="20"/>
          <w:szCs w:val="20"/>
        </w:rPr>
        <w:t xml:space="preserve">της Ελλάδας </w:t>
      </w:r>
      <w:r w:rsidR="00E0394E" w:rsidRPr="00E0394E">
        <w:rPr>
          <w:rFonts w:ascii="Times" w:eastAsia="Calibri" w:hAnsi="Times"/>
          <w:sz w:val="20"/>
          <w:szCs w:val="20"/>
        </w:rPr>
        <w:t>θα εξαρτηθεί κυρίως από:</w:t>
      </w:r>
    </w:p>
    <w:p w:rsidR="00E0394E" w:rsidRPr="00E0394E" w:rsidRDefault="00535421" w:rsidP="00E0394E">
      <w:pPr>
        <w:numPr>
          <w:ilvl w:val="1"/>
          <w:numId w:val="14"/>
        </w:numPr>
        <w:spacing w:after="240" w:line="260" w:lineRule="atLeast"/>
        <w:contextualSpacing/>
        <w:jc w:val="both"/>
        <w:rPr>
          <w:rFonts w:ascii="Times" w:eastAsia="Calibri" w:hAnsi="Times"/>
          <w:sz w:val="20"/>
          <w:szCs w:val="20"/>
        </w:rPr>
      </w:pPr>
      <w:r>
        <w:rPr>
          <w:rFonts w:ascii="Times" w:eastAsia="Calibri" w:hAnsi="Times"/>
          <w:sz w:val="20"/>
          <w:szCs w:val="20"/>
        </w:rPr>
        <w:lastRenderedPageBreak/>
        <w:t>τ</w:t>
      </w:r>
      <w:r w:rsidR="00E0394E" w:rsidRPr="00E0394E">
        <w:rPr>
          <w:rFonts w:ascii="Times" w:eastAsia="Calibri" w:hAnsi="Times"/>
          <w:sz w:val="20"/>
          <w:szCs w:val="20"/>
        </w:rPr>
        <w:t xml:space="preserve">ην επιτυχή ολοκλήρωση των επόμενων αξιολογήσεων του </w:t>
      </w:r>
      <w:r w:rsidR="008D60E3">
        <w:rPr>
          <w:rFonts w:ascii="Times" w:eastAsia="Calibri" w:hAnsi="Times"/>
          <w:sz w:val="20"/>
          <w:szCs w:val="20"/>
        </w:rPr>
        <w:t>3ου</w:t>
      </w:r>
      <w:r w:rsidR="008D60E3" w:rsidRPr="00E0394E">
        <w:rPr>
          <w:rFonts w:ascii="Times" w:eastAsia="Calibri" w:hAnsi="Times"/>
          <w:sz w:val="20"/>
          <w:szCs w:val="20"/>
        </w:rPr>
        <w:t xml:space="preserve"> </w:t>
      </w:r>
      <w:r w:rsidR="00E0394E" w:rsidRPr="00E0394E">
        <w:rPr>
          <w:rFonts w:ascii="Times" w:eastAsia="Calibri" w:hAnsi="Times"/>
          <w:sz w:val="20"/>
          <w:szCs w:val="20"/>
        </w:rPr>
        <w:t>Προγράμμ</w:t>
      </w:r>
      <w:r>
        <w:rPr>
          <w:rFonts w:ascii="Times" w:eastAsia="Calibri" w:hAnsi="Times"/>
          <w:sz w:val="20"/>
          <w:szCs w:val="20"/>
        </w:rPr>
        <w:t xml:space="preserve">ατος Οικονομικής </w:t>
      </w:r>
      <w:r w:rsidR="008D60E3">
        <w:rPr>
          <w:rFonts w:ascii="Times" w:eastAsia="Calibri" w:hAnsi="Times"/>
          <w:sz w:val="20"/>
          <w:szCs w:val="20"/>
        </w:rPr>
        <w:t>Προσαρμογής</w:t>
      </w:r>
      <w:r>
        <w:rPr>
          <w:rFonts w:ascii="Times" w:eastAsia="Calibri" w:hAnsi="Times"/>
          <w:sz w:val="20"/>
          <w:szCs w:val="20"/>
        </w:rPr>
        <w:t xml:space="preserve">, </w:t>
      </w:r>
      <w:r w:rsidR="00E0394E" w:rsidRPr="00E0394E">
        <w:rPr>
          <w:rFonts w:ascii="Times" w:eastAsia="Calibri" w:hAnsi="Times"/>
          <w:sz w:val="20"/>
          <w:szCs w:val="20"/>
        </w:rPr>
        <w:t xml:space="preserve">που με τη σειρά της θα έχει θετικές </w:t>
      </w:r>
      <w:r w:rsidR="000A0688">
        <w:rPr>
          <w:rFonts w:ascii="Times" w:eastAsia="Calibri" w:hAnsi="Times"/>
          <w:sz w:val="20"/>
          <w:szCs w:val="20"/>
        </w:rPr>
        <w:t>συνέπειες</w:t>
      </w:r>
      <w:r w:rsidR="000A0688" w:rsidRPr="00E0394E">
        <w:rPr>
          <w:rFonts w:ascii="Times" w:eastAsia="Calibri" w:hAnsi="Times"/>
          <w:sz w:val="20"/>
          <w:szCs w:val="20"/>
        </w:rPr>
        <w:t xml:space="preserve"> </w:t>
      </w:r>
      <w:r w:rsidR="00E0394E" w:rsidRPr="00E0394E">
        <w:rPr>
          <w:rFonts w:ascii="Times" w:eastAsia="Calibri" w:hAnsi="Times"/>
          <w:sz w:val="20"/>
          <w:szCs w:val="20"/>
        </w:rPr>
        <w:t xml:space="preserve">σε ότι αφορά </w:t>
      </w:r>
      <w:r w:rsidR="0098513E">
        <w:rPr>
          <w:rFonts w:ascii="Times" w:eastAsia="Calibri" w:hAnsi="Times"/>
          <w:sz w:val="20"/>
          <w:szCs w:val="20"/>
        </w:rPr>
        <w:t>σ</w:t>
      </w:r>
      <w:r w:rsidR="00E0394E" w:rsidRPr="00E0394E">
        <w:rPr>
          <w:rFonts w:ascii="Times" w:eastAsia="Calibri" w:hAnsi="Times"/>
          <w:sz w:val="20"/>
          <w:szCs w:val="20"/>
        </w:rPr>
        <w:t xml:space="preserve">την αποκατάσταση της εμπιστοσύνης </w:t>
      </w:r>
      <w:r>
        <w:rPr>
          <w:rFonts w:ascii="Times" w:eastAsia="Calibri" w:hAnsi="Times"/>
          <w:sz w:val="20"/>
          <w:szCs w:val="20"/>
        </w:rPr>
        <w:t>για τις προοπτικές της ελληνικής οικονομίας και της σταθερότητας του εγχώριου τραπεζικού συστήματος</w:t>
      </w:r>
      <w:r w:rsidR="00E0394E" w:rsidRPr="00E0394E">
        <w:rPr>
          <w:rFonts w:ascii="Times" w:eastAsia="Calibri" w:hAnsi="Times"/>
          <w:sz w:val="20"/>
          <w:szCs w:val="20"/>
        </w:rPr>
        <w:t xml:space="preserve">, </w:t>
      </w:r>
      <w:r w:rsidRPr="00E0394E">
        <w:rPr>
          <w:rFonts w:ascii="Times" w:eastAsia="Calibri" w:hAnsi="Times"/>
          <w:sz w:val="20"/>
          <w:szCs w:val="20"/>
        </w:rPr>
        <w:t xml:space="preserve">την </w:t>
      </w:r>
      <w:r>
        <w:rPr>
          <w:rFonts w:ascii="Times" w:eastAsia="Calibri" w:hAnsi="Times"/>
          <w:sz w:val="20"/>
          <w:szCs w:val="20"/>
        </w:rPr>
        <w:t xml:space="preserve">ομαλή </w:t>
      </w:r>
      <w:r w:rsidRPr="00E0394E">
        <w:rPr>
          <w:rFonts w:ascii="Times" w:eastAsia="Calibri" w:hAnsi="Times"/>
          <w:sz w:val="20"/>
          <w:szCs w:val="20"/>
        </w:rPr>
        <w:t xml:space="preserve">αποδέσμευση των </w:t>
      </w:r>
      <w:r>
        <w:rPr>
          <w:rFonts w:ascii="Times" w:eastAsia="Calibri" w:hAnsi="Times"/>
          <w:sz w:val="20"/>
          <w:szCs w:val="20"/>
        </w:rPr>
        <w:t xml:space="preserve">επόμενων </w:t>
      </w:r>
      <w:r w:rsidRPr="00E0394E">
        <w:rPr>
          <w:rFonts w:ascii="Times" w:eastAsia="Calibri" w:hAnsi="Times"/>
          <w:sz w:val="20"/>
          <w:szCs w:val="20"/>
        </w:rPr>
        <w:t>δόσεων του προγράμματος</w:t>
      </w:r>
      <w:r>
        <w:rPr>
          <w:rFonts w:ascii="Times" w:eastAsia="Calibri" w:hAnsi="Times"/>
          <w:sz w:val="20"/>
          <w:szCs w:val="20"/>
        </w:rPr>
        <w:t xml:space="preserve"> καθώς και </w:t>
      </w:r>
      <w:r w:rsidR="00E0394E" w:rsidRPr="00E0394E">
        <w:rPr>
          <w:rFonts w:ascii="Times" w:eastAsia="Calibri" w:hAnsi="Times"/>
          <w:sz w:val="20"/>
          <w:szCs w:val="20"/>
        </w:rPr>
        <w:t xml:space="preserve">την έναρξη των διαπραγματεύσεων για την ελάφρυνση του </w:t>
      </w:r>
      <w:r>
        <w:rPr>
          <w:rFonts w:ascii="Times" w:eastAsia="Calibri" w:hAnsi="Times"/>
          <w:sz w:val="20"/>
          <w:szCs w:val="20"/>
        </w:rPr>
        <w:t xml:space="preserve">δημοσίου </w:t>
      </w:r>
      <w:r w:rsidR="00E0394E" w:rsidRPr="00E0394E">
        <w:rPr>
          <w:rFonts w:ascii="Times" w:eastAsia="Calibri" w:hAnsi="Times"/>
          <w:sz w:val="20"/>
          <w:szCs w:val="20"/>
        </w:rPr>
        <w:t>χρέους</w:t>
      </w:r>
      <w:r>
        <w:rPr>
          <w:rFonts w:ascii="Times" w:eastAsia="Calibri" w:hAnsi="Times"/>
          <w:sz w:val="20"/>
          <w:szCs w:val="20"/>
        </w:rPr>
        <w:t xml:space="preserve"> (σε </w:t>
      </w:r>
      <w:proofErr w:type="spellStart"/>
      <w:r>
        <w:rPr>
          <w:rFonts w:ascii="Times" w:eastAsia="Calibri" w:hAnsi="Times"/>
          <w:sz w:val="20"/>
          <w:szCs w:val="20"/>
        </w:rPr>
        <w:t>μεσο</w:t>
      </w:r>
      <w:proofErr w:type="spellEnd"/>
      <w:r>
        <w:rPr>
          <w:rFonts w:ascii="Times" w:eastAsia="Calibri" w:hAnsi="Times"/>
          <w:sz w:val="20"/>
          <w:szCs w:val="20"/>
        </w:rPr>
        <w:t xml:space="preserve">-μακροπρόθεσμη βάση), </w:t>
      </w:r>
      <w:r w:rsidR="00E0394E" w:rsidRPr="00E0394E">
        <w:rPr>
          <w:rFonts w:ascii="Times" w:eastAsia="Calibri" w:hAnsi="Times"/>
          <w:sz w:val="20"/>
          <w:szCs w:val="20"/>
        </w:rPr>
        <w:t xml:space="preserve"> </w:t>
      </w:r>
    </w:p>
    <w:p w:rsidR="00E0394E" w:rsidRPr="00E0394E" w:rsidRDefault="00535421" w:rsidP="00E0394E">
      <w:pPr>
        <w:numPr>
          <w:ilvl w:val="1"/>
          <w:numId w:val="14"/>
        </w:numPr>
        <w:spacing w:after="240" w:line="260" w:lineRule="atLeast"/>
        <w:contextualSpacing/>
        <w:jc w:val="both"/>
        <w:rPr>
          <w:rFonts w:ascii="Times" w:eastAsia="Calibri" w:hAnsi="Times"/>
          <w:sz w:val="20"/>
          <w:szCs w:val="20"/>
        </w:rPr>
      </w:pPr>
      <w:r>
        <w:rPr>
          <w:rFonts w:ascii="Times" w:eastAsia="Calibri" w:hAnsi="Times"/>
          <w:sz w:val="20"/>
          <w:szCs w:val="20"/>
        </w:rPr>
        <w:t>τη</w:t>
      </w:r>
      <w:r w:rsidR="00E0394E" w:rsidRPr="00E0394E">
        <w:rPr>
          <w:rFonts w:ascii="Times" w:eastAsia="Calibri" w:hAnsi="Times"/>
          <w:sz w:val="20"/>
          <w:szCs w:val="20"/>
        </w:rPr>
        <w:t xml:space="preserve"> βελτίωση του οικονομικού κλίματος και των αν</w:t>
      </w:r>
      <w:r>
        <w:rPr>
          <w:rFonts w:ascii="Times" w:eastAsia="Calibri" w:hAnsi="Times"/>
          <w:sz w:val="20"/>
          <w:szCs w:val="20"/>
        </w:rPr>
        <w:t xml:space="preserve">απτυξιακών προοπτικών της χώρας, και </w:t>
      </w:r>
    </w:p>
    <w:p w:rsidR="00E0394E" w:rsidRPr="00E0394E" w:rsidRDefault="00535421" w:rsidP="00E0394E">
      <w:pPr>
        <w:numPr>
          <w:ilvl w:val="1"/>
          <w:numId w:val="14"/>
        </w:numPr>
        <w:spacing w:after="240" w:line="260" w:lineRule="atLeast"/>
        <w:contextualSpacing/>
        <w:jc w:val="both"/>
        <w:rPr>
          <w:rFonts w:ascii="Times" w:eastAsia="Calibri" w:hAnsi="Times"/>
          <w:sz w:val="20"/>
          <w:szCs w:val="20"/>
        </w:rPr>
      </w:pPr>
      <w:r>
        <w:rPr>
          <w:rFonts w:ascii="Times" w:eastAsia="Calibri" w:hAnsi="Times"/>
          <w:sz w:val="20"/>
          <w:szCs w:val="20"/>
        </w:rPr>
        <w:t>τ</w:t>
      </w:r>
      <w:r w:rsidR="00E0394E" w:rsidRPr="00E0394E">
        <w:rPr>
          <w:rFonts w:ascii="Times" w:eastAsia="Calibri" w:hAnsi="Times"/>
          <w:sz w:val="20"/>
          <w:szCs w:val="20"/>
        </w:rPr>
        <w:t xml:space="preserve">ην απουσία σημαντικών επιδράσεων από εξωγενείς παράγοντες (όπως πχ το </w:t>
      </w:r>
      <w:proofErr w:type="spellStart"/>
      <w:r w:rsidR="000A0688" w:rsidRPr="00E0394E">
        <w:rPr>
          <w:rFonts w:ascii="Times" w:eastAsia="Calibri" w:hAnsi="Times"/>
          <w:sz w:val="20"/>
          <w:szCs w:val="20"/>
          <w:lang w:val="en-US"/>
        </w:rPr>
        <w:t>B</w:t>
      </w:r>
      <w:r w:rsidR="000A0688">
        <w:rPr>
          <w:rFonts w:ascii="Times" w:eastAsia="Calibri" w:hAnsi="Times"/>
          <w:sz w:val="20"/>
          <w:szCs w:val="20"/>
          <w:lang w:val="en-US"/>
        </w:rPr>
        <w:t>r</w:t>
      </w:r>
      <w:r w:rsidR="000A0688" w:rsidRPr="00E0394E">
        <w:rPr>
          <w:rFonts w:ascii="Times" w:eastAsia="Calibri" w:hAnsi="Times"/>
          <w:sz w:val="20"/>
          <w:szCs w:val="20"/>
          <w:lang w:val="en-US"/>
        </w:rPr>
        <w:t>exit</w:t>
      </w:r>
      <w:proofErr w:type="spellEnd"/>
      <w:r w:rsidR="00E0394E" w:rsidRPr="00E0394E">
        <w:rPr>
          <w:rFonts w:ascii="Times" w:eastAsia="Calibri" w:hAnsi="Times"/>
          <w:sz w:val="20"/>
          <w:szCs w:val="20"/>
        </w:rPr>
        <w:t>, το μεταναστευτικό και οι πρόσφατες εξελίξεις στην Τουρκία).</w:t>
      </w:r>
    </w:p>
    <w:p w:rsidR="006C6E51" w:rsidRPr="002D1722" w:rsidRDefault="006C6E51" w:rsidP="006C6E51">
      <w:pPr>
        <w:spacing w:line="260" w:lineRule="atLeast"/>
        <w:jc w:val="both"/>
        <w:rPr>
          <w:rFonts w:ascii="Times" w:hAnsi="Times"/>
        </w:rPr>
      </w:pPr>
    </w:p>
    <w:sectPr w:rsidR="006C6E51" w:rsidRPr="002D172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79E" w:rsidRDefault="0031679E" w:rsidP="00A31ACC">
      <w:r>
        <w:separator/>
      </w:r>
    </w:p>
  </w:endnote>
  <w:endnote w:type="continuationSeparator" w:id="0">
    <w:p w:rsidR="0031679E" w:rsidRDefault="0031679E" w:rsidP="00A3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79E" w:rsidRDefault="0031679E" w:rsidP="00A31ACC">
      <w:r>
        <w:separator/>
      </w:r>
    </w:p>
  </w:footnote>
  <w:footnote w:type="continuationSeparator" w:id="0">
    <w:p w:rsidR="0031679E" w:rsidRDefault="0031679E" w:rsidP="00A31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C5B1A"/>
    <w:multiLevelType w:val="hybridMultilevel"/>
    <w:tmpl w:val="84AC43B8"/>
    <w:lvl w:ilvl="0" w:tplc="5B4C1022">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4C45F3"/>
    <w:multiLevelType w:val="hybridMultilevel"/>
    <w:tmpl w:val="95FA3146"/>
    <w:lvl w:ilvl="0" w:tplc="0408001B">
      <w:start w:val="1"/>
      <w:numFmt w:val="lowerRoman"/>
      <w:lvlText w:val="%1."/>
      <w:lvlJc w:val="righ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7A07AA7"/>
    <w:multiLevelType w:val="hybridMultilevel"/>
    <w:tmpl w:val="5CBC1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545B12"/>
    <w:multiLevelType w:val="hybridMultilevel"/>
    <w:tmpl w:val="F29E2564"/>
    <w:lvl w:ilvl="0" w:tplc="FA5650B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F386F9E"/>
    <w:multiLevelType w:val="hybridMultilevel"/>
    <w:tmpl w:val="9002338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A36783"/>
    <w:multiLevelType w:val="hybridMultilevel"/>
    <w:tmpl w:val="46DCDC94"/>
    <w:lvl w:ilvl="0" w:tplc="BFB86B08">
      <w:start w:val="1"/>
      <w:numFmt w:val="lowerRoman"/>
      <w:lvlText w:val="(%1)"/>
      <w:lvlJc w:val="left"/>
      <w:pPr>
        <w:ind w:left="360" w:hanging="360"/>
      </w:pPr>
      <w:rPr>
        <w:rFonts w:ascii="Times New Roman" w:eastAsia="Times New Roman" w:hAnsi="Times New Roman"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7D97CFF"/>
    <w:multiLevelType w:val="hybridMultilevel"/>
    <w:tmpl w:val="1D3C0B84"/>
    <w:lvl w:ilvl="0" w:tplc="3424D9E8">
      <w:start w:val="1"/>
      <w:numFmt w:val="bullet"/>
      <w:lvlText w:val=""/>
      <w:lvlJc w:val="left"/>
      <w:pPr>
        <w:tabs>
          <w:tab w:val="num" w:pos="720"/>
        </w:tabs>
        <w:ind w:left="720" w:hanging="360"/>
      </w:pPr>
      <w:rPr>
        <w:rFonts w:ascii="Wingdings" w:hAnsi="Wingdings" w:hint="default"/>
        <w:sz w:val="20"/>
        <w:szCs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DC52D06"/>
    <w:multiLevelType w:val="hybridMultilevel"/>
    <w:tmpl w:val="00E221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C62B19"/>
    <w:multiLevelType w:val="hybridMultilevel"/>
    <w:tmpl w:val="3DCC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E41217"/>
    <w:multiLevelType w:val="hybridMultilevel"/>
    <w:tmpl w:val="4752A9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246AD6"/>
    <w:multiLevelType w:val="hybridMultilevel"/>
    <w:tmpl w:val="AE08FCCC"/>
    <w:lvl w:ilvl="0" w:tplc="FCE0E8F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8C86174"/>
    <w:multiLevelType w:val="hybridMultilevel"/>
    <w:tmpl w:val="D70A55F8"/>
    <w:lvl w:ilvl="0" w:tplc="04080017">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792F48A2"/>
    <w:multiLevelType w:val="hybridMultilevel"/>
    <w:tmpl w:val="51D6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4A1555"/>
    <w:multiLevelType w:val="hybridMultilevel"/>
    <w:tmpl w:val="238619B4"/>
    <w:lvl w:ilvl="0" w:tplc="0409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12"/>
  </w:num>
  <w:num w:numId="7">
    <w:abstractNumId w:val="8"/>
  </w:num>
  <w:num w:numId="8">
    <w:abstractNumId w:val="9"/>
  </w:num>
  <w:num w:numId="9">
    <w:abstractNumId w:val="4"/>
  </w:num>
  <w:num w:numId="10">
    <w:abstractNumId w:val="10"/>
  </w:num>
  <w:num w:numId="11">
    <w:abstractNumId w:val="3"/>
  </w:num>
  <w:num w:numId="12">
    <w:abstractNumId w:val="11"/>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D9F"/>
    <w:rsid w:val="00001538"/>
    <w:rsid w:val="0000269E"/>
    <w:rsid w:val="00012ABB"/>
    <w:rsid w:val="00012EE7"/>
    <w:rsid w:val="0002367C"/>
    <w:rsid w:val="00030C3E"/>
    <w:rsid w:val="00033389"/>
    <w:rsid w:val="000416CE"/>
    <w:rsid w:val="00044CCB"/>
    <w:rsid w:val="00051923"/>
    <w:rsid w:val="00055B8F"/>
    <w:rsid w:val="0005664D"/>
    <w:rsid w:val="00077A92"/>
    <w:rsid w:val="00097DDF"/>
    <w:rsid w:val="000A0688"/>
    <w:rsid w:val="000A0F3E"/>
    <w:rsid w:val="000A1F9F"/>
    <w:rsid w:val="000A20E7"/>
    <w:rsid w:val="000A78EA"/>
    <w:rsid w:val="000B12EE"/>
    <w:rsid w:val="000B2A65"/>
    <w:rsid w:val="000C3D0A"/>
    <w:rsid w:val="000D50B1"/>
    <w:rsid w:val="000D5946"/>
    <w:rsid w:val="000D67D3"/>
    <w:rsid w:val="000E029E"/>
    <w:rsid w:val="000E0DD3"/>
    <w:rsid w:val="000F2B0C"/>
    <w:rsid w:val="00113463"/>
    <w:rsid w:val="00115EBE"/>
    <w:rsid w:val="00117822"/>
    <w:rsid w:val="0012228A"/>
    <w:rsid w:val="00123FA2"/>
    <w:rsid w:val="00126B7B"/>
    <w:rsid w:val="00127C13"/>
    <w:rsid w:val="001362CA"/>
    <w:rsid w:val="00136F11"/>
    <w:rsid w:val="00160ECD"/>
    <w:rsid w:val="00164D9D"/>
    <w:rsid w:val="001651EC"/>
    <w:rsid w:val="001841FE"/>
    <w:rsid w:val="00186CCD"/>
    <w:rsid w:val="00190185"/>
    <w:rsid w:val="0019468A"/>
    <w:rsid w:val="0019792B"/>
    <w:rsid w:val="001A4B02"/>
    <w:rsid w:val="001A7CFC"/>
    <w:rsid w:val="001B35BD"/>
    <w:rsid w:val="001C1B95"/>
    <w:rsid w:val="001D0FA0"/>
    <w:rsid w:val="001D2B48"/>
    <w:rsid w:val="001D4274"/>
    <w:rsid w:val="001E13D3"/>
    <w:rsid w:val="001E2420"/>
    <w:rsid w:val="001E2D1B"/>
    <w:rsid w:val="001E3AE1"/>
    <w:rsid w:val="001F2C79"/>
    <w:rsid w:val="00202B58"/>
    <w:rsid w:val="00203831"/>
    <w:rsid w:val="0022258A"/>
    <w:rsid w:val="00223464"/>
    <w:rsid w:val="0022449C"/>
    <w:rsid w:val="002248C9"/>
    <w:rsid w:val="00232A66"/>
    <w:rsid w:val="002336E4"/>
    <w:rsid w:val="002363DC"/>
    <w:rsid w:val="0024651A"/>
    <w:rsid w:val="00252E4F"/>
    <w:rsid w:val="00257A8B"/>
    <w:rsid w:val="00257CF3"/>
    <w:rsid w:val="00261279"/>
    <w:rsid w:val="00273673"/>
    <w:rsid w:val="002766C7"/>
    <w:rsid w:val="00283701"/>
    <w:rsid w:val="00285C97"/>
    <w:rsid w:val="0028739C"/>
    <w:rsid w:val="002A4DF7"/>
    <w:rsid w:val="002C0460"/>
    <w:rsid w:val="002C31F9"/>
    <w:rsid w:val="002C4029"/>
    <w:rsid w:val="002C73A7"/>
    <w:rsid w:val="002D1722"/>
    <w:rsid w:val="002D25C6"/>
    <w:rsid w:val="002D3689"/>
    <w:rsid w:val="002E5437"/>
    <w:rsid w:val="002F28CF"/>
    <w:rsid w:val="002F4C84"/>
    <w:rsid w:val="00301E91"/>
    <w:rsid w:val="00306D8E"/>
    <w:rsid w:val="00311E03"/>
    <w:rsid w:val="003128D3"/>
    <w:rsid w:val="003160E0"/>
    <w:rsid w:val="0031679E"/>
    <w:rsid w:val="00322224"/>
    <w:rsid w:val="00324B7C"/>
    <w:rsid w:val="00325FCD"/>
    <w:rsid w:val="00330607"/>
    <w:rsid w:val="00341CD3"/>
    <w:rsid w:val="003420D3"/>
    <w:rsid w:val="00345657"/>
    <w:rsid w:val="0034673D"/>
    <w:rsid w:val="003472A1"/>
    <w:rsid w:val="00352333"/>
    <w:rsid w:val="00354456"/>
    <w:rsid w:val="00354502"/>
    <w:rsid w:val="003553A7"/>
    <w:rsid w:val="00361159"/>
    <w:rsid w:val="00362E47"/>
    <w:rsid w:val="00366ED9"/>
    <w:rsid w:val="003A322B"/>
    <w:rsid w:val="003B000A"/>
    <w:rsid w:val="003B3AEC"/>
    <w:rsid w:val="003C0DEF"/>
    <w:rsid w:val="003C27DB"/>
    <w:rsid w:val="003C5DB8"/>
    <w:rsid w:val="003D3D56"/>
    <w:rsid w:val="003D6A85"/>
    <w:rsid w:val="003D7B4D"/>
    <w:rsid w:val="003E37BB"/>
    <w:rsid w:val="004074E1"/>
    <w:rsid w:val="00413FCE"/>
    <w:rsid w:val="00415D61"/>
    <w:rsid w:val="004166B8"/>
    <w:rsid w:val="00421CFA"/>
    <w:rsid w:val="004367A6"/>
    <w:rsid w:val="004522F3"/>
    <w:rsid w:val="00454EA4"/>
    <w:rsid w:val="0046026E"/>
    <w:rsid w:val="00460D21"/>
    <w:rsid w:val="004658CA"/>
    <w:rsid w:val="00466B3A"/>
    <w:rsid w:val="0048030B"/>
    <w:rsid w:val="00481415"/>
    <w:rsid w:val="00493F6E"/>
    <w:rsid w:val="004A4C12"/>
    <w:rsid w:val="004A6020"/>
    <w:rsid w:val="004A6FBC"/>
    <w:rsid w:val="004B28A2"/>
    <w:rsid w:val="004B47D7"/>
    <w:rsid w:val="004C773C"/>
    <w:rsid w:val="004C7A8D"/>
    <w:rsid w:val="004D2F6A"/>
    <w:rsid w:val="004D7B97"/>
    <w:rsid w:val="004E13CC"/>
    <w:rsid w:val="004E2002"/>
    <w:rsid w:val="004E318E"/>
    <w:rsid w:val="004E3197"/>
    <w:rsid w:val="004F2E45"/>
    <w:rsid w:val="004F39BF"/>
    <w:rsid w:val="005010D2"/>
    <w:rsid w:val="005174E7"/>
    <w:rsid w:val="00523DD7"/>
    <w:rsid w:val="005304F3"/>
    <w:rsid w:val="005310E8"/>
    <w:rsid w:val="00535421"/>
    <w:rsid w:val="00545DCE"/>
    <w:rsid w:val="00555AF9"/>
    <w:rsid w:val="00560829"/>
    <w:rsid w:val="0056521E"/>
    <w:rsid w:val="0056729F"/>
    <w:rsid w:val="00585A9A"/>
    <w:rsid w:val="00597FE3"/>
    <w:rsid w:val="005A3F56"/>
    <w:rsid w:val="005A46A8"/>
    <w:rsid w:val="005A634C"/>
    <w:rsid w:val="005C2FB5"/>
    <w:rsid w:val="005D37B6"/>
    <w:rsid w:val="005D576B"/>
    <w:rsid w:val="005D78E3"/>
    <w:rsid w:val="005E79DF"/>
    <w:rsid w:val="005F3F7C"/>
    <w:rsid w:val="005F733D"/>
    <w:rsid w:val="0060080A"/>
    <w:rsid w:val="0060550C"/>
    <w:rsid w:val="00614008"/>
    <w:rsid w:val="006202DC"/>
    <w:rsid w:val="0063368B"/>
    <w:rsid w:val="00633E54"/>
    <w:rsid w:val="006375CC"/>
    <w:rsid w:val="006413B3"/>
    <w:rsid w:val="00643386"/>
    <w:rsid w:val="00646766"/>
    <w:rsid w:val="006711D3"/>
    <w:rsid w:val="00671E62"/>
    <w:rsid w:val="006848DC"/>
    <w:rsid w:val="00685B1E"/>
    <w:rsid w:val="00687C16"/>
    <w:rsid w:val="006A6595"/>
    <w:rsid w:val="006B0923"/>
    <w:rsid w:val="006C02C9"/>
    <w:rsid w:val="006C2165"/>
    <w:rsid w:val="006C5801"/>
    <w:rsid w:val="006C6E51"/>
    <w:rsid w:val="006D0049"/>
    <w:rsid w:val="006D09B7"/>
    <w:rsid w:val="006D5DB7"/>
    <w:rsid w:val="006D6D92"/>
    <w:rsid w:val="006F433A"/>
    <w:rsid w:val="006F5595"/>
    <w:rsid w:val="006F6CAC"/>
    <w:rsid w:val="00701795"/>
    <w:rsid w:val="00702313"/>
    <w:rsid w:val="00713B1F"/>
    <w:rsid w:val="00715BD5"/>
    <w:rsid w:val="00717858"/>
    <w:rsid w:val="00721991"/>
    <w:rsid w:val="007235DF"/>
    <w:rsid w:val="00733CDF"/>
    <w:rsid w:val="00734915"/>
    <w:rsid w:val="00742DB2"/>
    <w:rsid w:val="00744A26"/>
    <w:rsid w:val="00751AAB"/>
    <w:rsid w:val="00752E8E"/>
    <w:rsid w:val="00753471"/>
    <w:rsid w:val="00763B4B"/>
    <w:rsid w:val="007702B8"/>
    <w:rsid w:val="007815FE"/>
    <w:rsid w:val="007A19AA"/>
    <w:rsid w:val="007A37B5"/>
    <w:rsid w:val="007B1037"/>
    <w:rsid w:val="007B20AB"/>
    <w:rsid w:val="007B4B0E"/>
    <w:rsid w:val="007B674F"/>
    <w:rsid w:val="007C0275"/>
    <w:rsid w:val="007D2F80"/>
    <w:rsid w:val="007E268F"/>
    <w:rsid w:val="007E4A3A"/>
    <w:rsid w:val="007E617E"/>
    <w:rsid w:val="007E6D5A"/>
    <w:rsid w:val="007F0600"/>
    <w:rsid w:val="007F0896"/>
    <w:rsid w:val="007F68B8"/>
    <w:rsid w:val="0080093D"/>
    <w:rsid w:val="00801125"/>
    <w:rsid w:val="008059EB"/>
    <w:rsid w:val="00810467"/>
    <w:rsid w:val="00815D22"/>
    <w:rsid w:val="0083617D"/>
    <w:rsid w:val="0083621B"/>
    <w:rsid w:val="00840D11"/>
    <w:rsid w:val="00845548"/>
    <w:rsid w:val="008557A5"/>
    <w:rsid w:val="00857D00"/>
    <w:rsid w:val="00861EB5"/>
    <w:rsid w:val="00866766"/>
    <w:rsid w:val="00873581"/>
    <w:rsid w:val="00877171"/>
    <w:rsid w:val="008855A2"/>
    <w:rsid w:val="0088762F"/>
    <w:rsid w:val="00887DA3"/>
    <w:rsid w:val="0089258A"/>
    <w:rsid w:val="008A3F6E"/>
    <w:rsid w:val="008B50FA"/>
    <w:rsid w:val="008C52A5"/>
    <w:rsid w:val="008D4A2C"/>
    <w:rsid w:val="008D60E3"/>
    <w:rsid w:val="008D7426"/>
    <w:rsid w:val="008D7806"/>
    <w:rsid w:val="008E019E"/>
    <w:rsid w:val="008E23F2"/>
    <w:rsid w:val="008E7DDF"/>
    <w:rsid w:val="008F53E4"/>
    <w:rsid w:val="008F6E8A"/>
    <w:rsid w:val="00902825"/>
    <w:rsid w:val="009036D6"/>
    <w:rsid w:val="00910579"/>
    <w:rsid w:val="00911268"/>
    <w:rsid w:val="00911E1D"/>
    <w:rsid w:val="00916663"/>
    <w:rsid w:val="00926265"/>
    <w:rsid w:val="0093470E"/>
    <w:rsid w:val="00936F0A"/>
    <w:rsid w:val="0094042B"/>
    <w:rsid w:val="009476B1"/>
    <w:rsid w:val="00951321"/>
    <w:rsid w:val="0095582A"/>
    <w:rsid w:val="00956D3E"/>
    <w:rsid w:val="00957AEE"/>
    <w:rsid w:val="00961588"/>
    <w:rsid w:val="0098513E"/>
    <w:rsid w:val="00992124"/>
    <w:rsid w:val="0099250F"/>
    <w:rsid w:val="00996DA8"/>
    <w:rsid w:val="00997152"/>
    <w:rsid w:val="009B2BD1"/>
    <w:rsid w:val="009B33F5"/>
    <w:rsid w:val="009B40B8"/>
    <w:rsid w:val="009B544F"/>
    <w:rsid w:val="009C10C5"/>
    <w:rsid w:val="009C267F"/>
    <w:rsid w:val="009D2153"/>
    <w:rsid w:val="009E1D32"/>
    <w:rsid w:val="009E5783"/>
    <w:rsid w:val="009E58A9"/>
    <w:rsid w:val="009F52D8"/>
    <w:rsid w:val="00A0005D"/>
    <w:rsid w:val="00A0049A"/>
    <w:rsid w:val="00A100AB"/>
    <w:rsid w:val="00A10703"/>
    <w:rsid w:val="00A1164B"/>
    <w:rsid w:val="00A139D6"/>
    <w:rsid w:val="00A14462"/>
    <w:rsid w:val="00A15D45"/>
    <w:rsid w:val="00A22D51"/>
    <w:rsid w:val="00A24170"/>
    <w:rsid w:val="00A3068C"/>
    <w:rsid w:val="00A3198C"/>
    <w:rsid w:val="00A31ACC"/>
    <w:rsid w:val="00A32FDA"/>
    <w:rsid w:val="00A450DC"/>
    <w:rsid w:val="00A47C5C"/>
    <w:rsid w:val="00A67CCB"/>
    <w:rsid w:val="00A92450"/>
    <w:rsid w:val="00AA6C53"/>
    <w:rsid w:val="00AB7C52"/>
    <w:rsid w:val="00AC0175"/>
    <w:rsid w:val="00AC3038"/>
    <w:rsid w:val="00AC4426"/>
    <w:rsid w:val="00AD0735"/>
    <w:rsid w:val="00AD463C"/>
    <w:rsid w:val="00AE12C7"/>
    <w:rsid w:val="00AF5752"/>
    <w:rsid w:val="00B10BBD"/>
    <w:rsid w:val="00B20CF2"/>
    <w:rsid w:val="00B21F19"/>
    <w:rsid w:val="00B40DD9"/>
    <w:rsid w:val="00B608EB"/>
    <w:rsid w:val="00B62F51"/>
    <w:rsid w:val="00B95075"/>
    <w:rsid w:val="00B97EB1"/>
    <w:rsid w:val="00BA0C65"/>
    <w:rsid w:val="00BB1BB6"/>
    <w:rsid w:val="00BC5B4C"/>
    <w:rsid w:val="00BD1A3E"/>
    <w:rsid w:val="00BD3579"/>
    <w:rsid w:val="00BD6354"/>
    <w:rsid w:val="00BF0C27"/>
    <w:rsid w:val="00BF614C"/>
    <w:rsid w:val="00C03E76"/>
    <w:rsid w:val="00C04393"/>
    <w:rsid w:val="00C063EE"/>
    <w:rsid w:val="00C07E10"/>
    <w:rsid w:val="00C11D94"/>
    <w:rsid w:val="00C1583F"/>
    <w:rsid w:val="00C20C79"/>
    <w:rsid w:val="00C20FB0"/>
    <w:rsid w:val="00C24327"/>
    <w:rsid w:val="00C329C7"/>
    <w:rsid w:val="00C37A41"/>
    <w:rsid w:val="00C41253"/>
    <w:rsid w:val="00C54B02"/>
    <w:rsid w:val="00C64BF9"/>
    <w:rsid w:val="00C656DA"/>
    <w:rsid w:val="00C66572"/>
    <w:rsid w:val="00C67AD8"/>
    <w:rsid w:val="00C86F77"/>
    <w:rsid w:val="00C877C8"/>
    <w:rsid w:val="00C93650"/>
    <w:rsid w:val="00C94974"/>
    <w:rsid w:val="00C94AFC"/>
    <w:rsid w:val="00CA77E1"/>
    <w:rsid w:val="00CB07FA"/>
    <w:rsid w:val="00CB6C5F"/>
    <w:rsid w:val="00CC03F0"/>
    <w:rsid w:val="00CC074C"/>
    <w:rsid w:val="00CC30C3"/>
    <w:rsid w:val="00CC74C6"/>
    <w:rsid w:val="00CD1285"/>
    <w:rsid w:val="00CD593A"/>
    <w:rsid w:val="00CE12A0"/>
    <w:rsid w:val="00CE6BA8"/>
    <w:rsid w:val="00D0360A"/>
    <w:rsid w:val="00D04595"/>
    <w:rsid w:val="00D05B5C"/>
    <w:rsid w:val="00D12423"/>
    <w:rsid w:val="00D22CD1"/>
    <w:rsid w:val="00D252DA"/>
    <w:rsid w:val="00D55F89"/>
    <w:rsid w:val="00D56C7D"/>
    <w:rsid w:val="00D57A4F"/>
    <w:rsid w:val="00D57A79"/>
    <w:rsid w:val="00D84C35"/>
    <w:rsid w:val="00D86B47"/>
    <w:rsid w:val="00D90EB7"/>
    <w:rsid w:val="00D92A74"/>
    <w:rsid w:val="00D97C90"/>
    <w:rsid w:val="00DA3365"/>
    <w:rsid w:val="00DC2D4F"/>
    <w:rsid w:val="00DC3D6B"/>
    <w:rsid w:val="00DE7D7A"/>
    <w:rsid w:val="00DF2FD3"/>
    <w:rsid w:val="00DF38EE"/>
    <w:rsid w:val="00DF39B3"/>
    <w:rsid w:val="00E0351B"/>
    <w:rsid w:val="00E0394E"/>
    <w:rsid w:val="00E06232"/>
    <w:rsid w:val="00E12559"/>
    <w:rsid w:val="00E12F31"/>
    <w:rsid w:val="00E21769"/>
    <w:rsid w:val="00E235A0"/>
    <w:rsid w:val="00E366E4"/>
    <w:rsid w:val="00E402FA"/>
    <w:rsid w:val="00E4092F"/>
    <w:rsid w:val="00E459AF"/>
    <w:rsid w:val="00E51864"/>
    <w:rsid w:val="00E530F3"/>
    <w:rsid w:val="00E53467"/>
    <w:rsid w:val="00E61431"/>
    <w:rsid w:val="00E616D2"/>
    <w:rsid w:val="00E747BF"/>
    <w:rsid w:val="00E86668"/>
    <w:rsid w:val="00E87603"/>
    <w:rsid w:val="00E91F4D"/>
    <w:rsid w:val="00E92E27"/>
    <w:rsid w:val="00EA1D9F"/>
    <w:rsid w:val="00EA2DC8"/>
    <w:rsid w:val="00EB64AC"/>
    <w:rsid w:val="00EC6116"/>
    <w:rsid w:val="00EC72E8"/>
    <w:rsid w:val="00EE3AA5"/>
    <w:rsid w:val="00EF53A8"/>
    <w:rsid w:val="00EF579F"/>
    <w:rsid w:val="00EF72BC"/>
    <w:rsid w:val="00F00610"/>
    <w:rsid w:val="00F131E6"/>
    <w:rsid w:val="00F1381C"/>
    <w:rsid w:val="00F14642"/>
    <w:rsid w:val="00F15589"/>
    <w:rsid w:val="00F15FBC"/>
    <w:rsid w:val="00F302F5"/>
    <w:rsid w:val="00F47CA4"/>
    <w:rsid w:val="00F63AE0"/>
    <w:rsid w:val="00F665A2"/>
    <w:rsid w:val="00F70AC7"/>
    <w:rsid w:val="00F83AA3"/>
    <w:rsid w:val="00F90C0B"/>
    <w:rsid w:val="00F95D1A"/>
    <w:rsid w:val="00FA4383"/>
    <w:rsid w:val="00FA520A"/>
    <w:rsid w:val="00FC5F6A"/>
    <w:rsid w:val="00FD142B"/>
    <w:rsid w:val="00FD1F46"/>
    <w:rsid w:val="00FE05E3"/>
    <w:rsid w:val="00FE2881"/>
    <w:rsid w:val="00FE5F8F"/>
    <w:rsid w:val="00FE6A7D"/>
    <w:rsid w:val="00FF3A0B"/>
    <w:rsid w:val="00FF5CE7"/>
    <w:rsid w:val="00FF77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97C90"/>
  </w:style>
  <w:style w:type="paragraph" w:styleId="BalloonText">
    <w:name w:val="Balloon Text"/>
    <w:basedOn w:val="Normal"/>
    <w:link w:val="BalloonTextChar"/>
    <w:rsid w:val="00951321"/>
    <w:rPr>
      <w:rFonts w:ascii="Tahoma" w:hAnsi="Tahoma" w:cs="Tahoma"/>
      <w:sz w:val="16"/>
      <w:szCs w:val="16"/>
    </w:rPr>
  </w:style>
  <w:style w:type="character" w:customStyle="1" w:styleId="BalloonTextChar">
    <w:name w:val="Balloon Text Char"/>
    <w:link w:val="BalloonText"/>
    <w:rsid w:val="00951321"/>
    <w:rPr>
      <w:rFonts w:ascii="Tahoma" w:hAnsi="Tahoma" w:cs="Tahoma"/>
      <w:sz w:val="16"/>
      <w:szCs w:val="16"/>
      <w:lang w:val="el-GR"/>
    </w:rPr>
  </w:style>
  <w:style w:type="paragraph" w:styleId="ListParagraph">
    <w:name w:val="List Paragraph"/>
    <w:basedOn w:val="Normal"/>
    <w:uiPriority w:val="34"/>
    <w:qFormat/>
    <w:rsid w:val="00A31ACC"/>
    <w:pPr>
      <w:ind w:left="720"/>
    </w:pPr>
  </w:style>
  <w:style w:type="character" w:styleId="Hyperlink">
    <w:name w:val="Hyperlink"/>
    <w:uiPriority w:val="99"/>
    <w:unhideWhenUsed/>
    <w:rsid w:val="00A31ACC"/>
    <w:rPr>
      <w:color w:val="0000FF"/>
      <w:u w:val="single"/>
    </w:rPr>
  </w:style>
  <w:style w:type="paragraph" w:styleId="FootnoteText">
    <w:name w:val="footnote text"/>
    <w:basedOn w:val="Normal"/>
    <w:link w:val="FootnoteTextChar"/>
    <w:rsid w:val="00A31ACC"/>
    <w:rPr>
      <w:sz w:val="20"/>
      <w:szCs w:val="20"/>
    </w:rPr>
  </w:style>
  <w:style w:type="character" w:customStyle="1" w:styleId="FootnoteTextChar">
    <w:name w:val="Footnote Text Char"/>
    <w:link w:val="FootnoteText"/>
    <w:rsid w:val="00A31ACC"/>
    <w:rPr>
      <w:lang w:val="el-GR"/>
    </w:rPr>
  </w:style>
  <w:style w:type="character" w:styleId="FootnoteReference">
    <w:name w:val="footnote reference"/>
    <w:rsid w:val="00A31ACC"/>
    <w:rPr>
      <w:vertAlign w:val="superscript"/>
    </w:rPr>
  </w:style>
  <w:style w:type="character" w:customStyle="1" w:styleId="atn">
    <w:name w:val="atn"/>
    <w:basedOn w:val="DefaultParagraphFont"/>
    <w:rsid w:val="00C93650"/>
  </w:style>
  <w:style w:type="paragraph" w:styleId="Header">
    <w:name w:val="header"/>
    <w:basedOn w:val="Normal"/>
    <w:link w:val="HeaderChar"/>
    <w:rsid w:val="00535421"/>
    <w:pPr>
      <w:tabs>
        <w:tab w:val="center" w:pos="4153"/>
        <w:tab w:val="right" w:pos="8306"/>
      </w:tabs>
    </w:pPr>
  </w:style>
  <w:style w:type="character" w:customStyle="1" w:styleId="HeaderChar">
    <w:name w:val="Header Char"/>
    <w:basedOn w:val="DefaultParagraphFont"/>
    <w:link w:val="Header"/>
    <w:rsid w:val="00535421"/>
    <w:rPr>
      <w:sz w:val="24"/>
      <w:szCs w:val="24"/>
      <w:lang w:eastAsia="en-US"/>
    </w:rPr>
  </w:style>
  <w:style w:type="paragraph" w:styleId="Footer">
    <w:name w:val="footer"/>
    <w:basedOn w:val="Normal"/>
    <w:link w:val="FooterChar"/>
    <w:rsid w:val="00535421"/>
    <w:pPr>
      <w:tabs>
        <w:tab w:val="center" w:pos="4153"/>
        <w:tab w:val="right" w:pos="8306"/>
      </w:tabs>
    </w:pPr>
  </w:style>
  <w:style w:type="character" w:customStyle="1" w:styleId="FooterChar">
    <w:name w:val="Footer Char"/>
    <w:basedOn w:val="DefaultParagraphFont"/>
    <w:link w:val="Footer"/>
    <w:rsid w:val="00535421"/>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97C90"/>
  </w:style>
  <w:style w:type="paragraph" w:styleId="BalloonText">
    <w:name w:val="Balloon Text"/>
    <w:basedOn w:val="Normal"/>
    <w:link w:val="BalloonTextChar"/>
    <w:rsid w:val="00951321"/>
    <w:rPr>
      <w:rFonts w:ascii="Tahoma" w:hAnsi="Tahoma" w:cs="Tahoma"/>
      <w:sz w:val="16"/>
      <w:szCs w:val="16"/>
    </w:rPr>
  </w:style>
  <w:style w:type="character" w:customStyle="1" w:styleId="BalloonTextChar">
    <w:name w:val="Balloon Text Char"/>
    <w:link w:val="BalloonText"/>
    <w:rsid w:val="00951321"/>
    <w:rPr>
      <w:rFonts w:ascii="Tahoma" w:hAnsi="Tahoma" w:cs="Tahoma"/>
      <w:sz w:val="16"/>
      <w:szCs w:val="16"/>
      <w:lang w:val="el-GR"/>
    </w:rPr>
  </w:style>
  <w:style w:type="paragraph" w:styleId="ListParagraph">
    <w:name w:val="List Paragraph"/>
    <w:basedOn w:val="Normal"/>
    <w:uiPriority w:val="34"/>
    <w:qFormat/>
    <w:rsid w:val="00A31ACC"/>
    <w:pPr>
      <w:ind w:left="720"/>
    </w:pPr>
  </w:style>
  <w:style w:type="character" w:styleId="Hyperlink">
    <w:name w:val="Hyperlink"/>
    <w:uiPriority w:val="99"/>
    <w:unhideWhenUsed/>
    <w:rsid w:val="00A31ACC"/>
    <w:rPr>
      <w:color w:val="0000FF"/>
      <w:u w:val="single"/>
    </w:rPr>
  </w:style>
  <w:style w:type="paragraph" w:styleId="FootnoteText">
    <w:name w:val="footnote text"/>
    <w:basedOn w:val="Normal"/>
    <w:link w:val="FootnoteTextChar"/>
    <w:rsid w:val="00A31ACC"/>
    <w:rPr>
      <w:sz w:val="20"/>
      <w:szCs w:val="20"/>
    </w:rPr>
  </w:style>
  <w:style w:type="character" w:customStyle="1" w:styleId="FootnoteTextChar">
    <w:name w:val="Footnote Text Char"/>
    <w:link w:val="FootnoteText"/>
    <w:rsid w:val="00A31ACC"/>
    <w:rPr>
      <w:lang w:val="el-GR"/>
    </w:rPr>
  </w:style>
  <w:style w:type="character" w:styleId="FootnoteReference">
    <w:name w:val="footnote reference"/>
    <w:rsid w:val="00A31ACC"/>
    <w:rPr>
      <w:vertAlign w:val="superscript"/>
    </w:rPr>
  </w:style>
  <w:style w:type="character" w:customStyle="1" w:styleId="atn">
    <w:name w:val="atn"/>
    <w:basedOn w:val="DefaultParagraphFont"/>
    <w:rsid w:val="00C93650"/>
  </w:style>
  <w:style w:type="paragraph" w:styleId="Header">
    <w:name w:val="header"/>
    <w:basedOn w:val="Normal"/>
    <w:link w:val="HeaderChar"/>
    <w:rsid w:val="00535421"/>
    <w:pPr>
      <w:tabs>
        <w:tab w:val="center" w:pos="4153"/>
        <w:tab w:val="right" w:pos="8306"/>
      </w:tabs>
    </w:pPr>
  </w:style>
  <w:style w:type="character" w:customStyle="1" w:styleId="HeaderChar">
    <w:name w:val="Header Char"/>
    <w:basedOn w:val="DefaultParagraphFont"/>
    <w:link w:val="Header"/>
    <w:rsid w:val="00535421"/>
    <w:rPr>
      <w:sz w:val="24"/>
      <w:szCs w:val="24"/>
      <w:lang w:eastAsia="en-US"/>
    </w:rPr>
  </w:style>
  <w:style w:type="paragraph" w:styleId="Footer">
    <w:name w:val="footer"/>
    <w:basedOn w:val="Normal"/>
    <w:link w:val="FooterChar"/>
    <w:rsid w:val="00535421"/>
    <w:pPr>
      <w:tabs>
        <w:tab w:val="center" w:pos="4153"/>
        <w:tab w:val="right" w:pos="8306"/>
      </w:tabs>
    </w:pPr>
  </w:style>
  <w:style w:type="character" w:customStyle="1" w:styleId="FooterChar">
    <w:name w:val="Footer Char"/>
    <w:basedOn w:val="DefaultParagraphFont"/>
    <w:link w:val="Footer"/>
    <w:rsid w:val="0053542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4683">
      <w:bodyDiv w:val="1"/>
      <w:marLeft w:val="0"/>
      <w:marRight w:val="0"/>
      <w:marTop w:val="0"/>
      <w:marBottom w:val="0"/>
      <w:divBdr>
        <w:top w:val="none" w:sz="0" w:space="0" w:color="auto"/>
        <w:left w:val="none" w:sz="0" w:space="0" w:color="auto"/>
        <w:bottom w:val="none" w:sz="0" w:space="0" w:color="auto"/>
        <w:right w:val="none" w:sz="0" w:space="0" w:color="auto"/>
      </w:divBdr>
    </w:div>
    <w:div w:id="1138107360">
      <w:bodyDiv w:val="1"/>
      <w:marLeft w:val="0"/>
      <w:marRight w:val="0"/>
      <w:marTop w:val="0"/>
      <w:marBottom w:val="0"/>
      <w:divBdr>
        <w:top w:val="none" w:sz="0" w:space="0" w:color="auto"/>
        <w:left w:val="none" w:sz="0" w:space="0" w:color="auto"/>
        <w:bottom w:val="none" w:sz="0" w:space="0" w:color="auto"/>
        <w:right w:val="none" w:sz="0" w:space="0" w:color="auto"/>
      </w:divBdr>
    </w:div>
    <w:div w:id="1183282026">
      <w:bodyDiv w:val="1"/>
      <w:marLeft w:val="0"/>
      <w:marRight w:val="0"/>
      <w:marTop w:val="0"/>
      <w:marBottom w:val="0"/>
      <w:divBdr>
        <w:top w:val="none" w:sz="0" w:space="0" w:color="auto"/>
        <w:left w:val="none" w:sz="0" w:space="0" w:color="auto"/>
        <w:bottom w:val="none" w:sz="0" w:space="0" w:color="auto"/>
        <w:right w:val="none" w:sz="0" w:space="0" w:color="auto"/>
      </w:divBdr>
    </w:div>
    <w:div w:id="1562667482">
      <w:bodyDiv w:val="1"/>
      <w:marLeft w:val="0"/>
      <w:marRight w:val="0"/>
      <w:marTop w:val="0"/>
      <w:marBottom w:val="0"/>
      <w:divBdr>
        <w:top w:val="none" w:sz="0" w:space="0" w:color="auto"/>
        <w:left w:val="none" w:sz="0" w:space="0" w:color="auto"/>
        <w:bottom w:val="none" w:sz="0" w:space="0" w:color="auto"/>
        <w:right w:val="none" w:sz="0" w:space="0" w:color="auto"/>
      </w:divBdr>
    </w:div>
    <w:div w:id="199919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06775-51FE-4D5D-B3B4-EA3ED8A9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1224</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Το Τμήμα Ερευνών της Eurobank, στο πλαίσιο μελετών για τη διατηρησιμότητα του ελληνικού χρέος, στο πρόσφατο δελτίο με τίτλο ‘A closer look at public debt service costs and potential strategies to improve sovereign solvency’ εξετάζει σε λεπτομέρεια τη διά</vt:lpstr>
    </vt:vector>
  </TitlesOfParts>
  <Company>N/A</Company>
  <LinksUpToDate>false</LinksUpToDate>
  <CharactersWithSpaces>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Τμήμα Ερευνών της Eurobank, στο πλαίσιο μελετών για τη διατηρησιμότητα του ελληνικού χρέος, στο πρόσφατο δελτίο με τίτλο ‘A closer look at public debt service costs and potential strategies to improve sovereign solvency’ εξετάζει σε λεπτομέρεια τη διά</dc:title>
  <dc:creator>fokion.karavias</dc:creator>
  <cp:lastModifiedBy>Lema Chrysa</cp:lastModifiedBy>
  <cp:revision>2</cp:revision>
  <cp:lastPrinted>2016-08-01T08:55:00Z</cp:lastPrinted>
  <dcterms:created xsi:type="dcterms:W3CDTF">2016-08-01T10:49:00Z</dcterms:created>
  <dcterms:modified xsi:type="dcterms:W3CDTF">2016-08-01T10:49:00Z</dcterms:modified>
</cp:coreProperties>
</file>