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B8" w:rsidRPr="00A641C3" w:rsidRDefault="008F08B7" w:rsidP="008119A4">
      <w:pPr>
        <w:spacing w:before="200" w:after="200" w:line="240" w:lineRule="atLeast"/>
        <w:jc w:val="right"/>
        <w:rPr>
          <w:rFonts w:ascii="Bookman Old Style" w:hAnsi="Bookman Old Style"/>
          <w:i/>
        </w:rPr>
      </w:pPr>
      <w:r>
        <w:rPr>
          <w:rFonts w:ascii="Bookman Old Style" w:hAnsi="Bookman Old Style"/>
          <w:noProof/>
          <w:lang w:eastAsia="el-GR"/>
        </w:rPr>
        <w:drawing>
          <wp:anchor distT="0" distB="0" distL="114300" distR="114300" simplePos="0" relativeHeight="251657728" behindDoc="0" locked="0" layoutInCell="1" allowOverlap="1">
            <wp:simplePos x="0" y="0"/>
            <wp:positionH relativeFrom="column">
              <wp:posOffset>-342900</wp:posOffset>
            </wp:positionH>
            <wp:positionV relativeFrom="paragraph">
              <wp:posOffset>-342900</wp:posOffset>
            </wp:positionV>
            <wp:extent cx="1943100" cy="752475"/>
            <wp:effectExtent l="0" t="0" r="0" b="0"/>
            <wp:wrapNone/>
            <wp:docPr id="2" name="Picture 2" descr="eurobank-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bank-logo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9A4" w:rsidRDefault="008119A4" w:rsidP="008119A4">
      <w:pPr>
        <w:spacing w:before="200" w:after="200" w:line="240" w:lineRule="atLeast"/>
        <w:jc w:val="right"/>
        <w:rPr>
          <w:rFonts w:ascii="Bookman Old Style" w:hAnsi="Bookman Old Style"/>
          <w:sz w:val="20"/>
          <w:szCs w:val="20"/>
          <w:lang w:val="en-US"/>
        </w:rPr>
      </w:pPr>
    </w:p>
    <w:p w:rsidR="00C54B02" w:rsidRPr="00DE406A" w:rsidRDefault="00D86B47" w:rsidP="008119A4">
      <w:pPr>
        <w:spacing w:before="200" w:after="200" w:line="240" w:lineRule="atLeast"/>
        <w:jc w:val="right"/>
        <w:rPr>
          <w:rFonts w:ascii="Bookman Old Style" w:hAnsi="Bookman Old Style"/>
          <w:sz w:val="20"/>
          <w:szCs w:val="20"/>
          <w:lang w:val="en-US"/>
        </w:rPr>
      </w:pPr>
      <w:r w:rsidRPr="000507C6">
        <w:rPr>
          <w:rFonts w:ascii="Bookman Old Style" w:hAnsi="Bookman Old Style"/>
          <w:sz w:val="20"/>
          <w:szCs w:val="20"/>
        </w:rPr>
        <w:t>Αθήνα</w:t>
      </w:r>
      <w:r w:rsidRPr="000507C6">
        <w:rPr>
          <w:rFonts w:ascii="Bookman Old Style" w:hAnsi="Bookman Old Style"/>
          <w:sz w:val="20"/>
          <w:szCs w:val="20"/>
          <w:lang w:val="en-US"/>
        </w:rPr>
        <w:t xml:space="preserve">, </w:t>
      </w:r>
      <w:r w:rsidR="00C46640" w:rsidRPr="000507C6">
        <w:rPr>
          <w:rFonts w:ascii="Bookman Old Style" w:hAnsi="Bookman Old Style"/>
          <w:sz w:val="20"/>
          <w:szCs w:val="20"/>
          <w:lang w:val="en-US"/>
        </w:rPr>
        <w:t>18</w:t>
      </w:r>
      <w:r w:rsidR="001049D5" w:rsidRPr="000507C6">
        <w:rPr>
          <w:rFonts w:ascii="Bookman Old Style" w:hAnsi="Bookman Old Style"/>
          <w:sz w:val="20"/>
          <w:szCs w:val="20"/>
          <w:lang w:val="en-US"/>
        </w:rPr>
        <w:t xml:space="preserve"> </w:t>
      </w:r>
      <w:r w:rsidR="00C46640" w:rsidRPr="000507C6">
        <w:rPr>
          <w:rFonts w:ascii="Bookman Old Style" w:hAnsi="Bookman Old Style"/>
          <w:sz w:val="20"/>
          <w:szCs w:val="20"/>
        </w:rPr>
        <w:t>Οκτωβρίου</w:t>
      </w:r>
      <w:r w:rsidR="00C93650" w:rsidRPr="000507C6">
        <w:rPr>
          <w:rFonts w:ascii="Bookman Old Style" w:hAnsi="Bookman Old Style"/>
          <w:sz w:val="20"/>
          <w:szCs w:val="20"/>
          <w:lang w:val="en-US"/>
        </w:rPr>
        <w:t xml:space="preserve"> </w:t>
      </w:r>
      <w:r w:rsidR="00117B85" w:rsidRPr="000507C6">
        <w:rPr>
          <w:rFonts w:ascii="Bookman Old Style" w:hAnsi="Bookman Old Style"/>
          <w:sz w:val="20"/>
          <w:szCs w:val="20"/>
          <w:lang w:val="en-US"/>
        </w:rPr>
        <w:t>2016</w:t>
      </w:r>
      <w:r w:rsidR="009B40B8" w:rsidRPr="00DE406A">
        <w:rPr>
          <w:rFonts w:ascii="Bookman Old Style" w:hAnsi="Bookman Old Style"/>
          <w:sz w:val="20"/>
          <w:szCs w:val="20"/>
          <w:lang w:val="en-US"/>
        </w:rPr>
        <w:t xml:space="preserve"> </w:t>
      </w:r>
    </w:p>
    <w:p w:rsidR="00C54B02" w:rsidRPr="00DE406A" w:rsidRDefault="00C54B02" w:rsidP="008119A4">
      <w:pPr>
        <w:spacing w:before="200" w:after="200" w:line="240" w:lineRule="atLeast"/>
        <w:jc w:val="center"/>
        <w:rPr>
          <w:rFonts w:ascii="Bookman Old Style" w:hAnsi="Bookman Old Style"/>
          <w:b/>
          <w:lang w:val="en-US"/>
        </w:rPr>
      </w:pPr>
    </w:p>
    <w:p w:rsidR="00115EBE" w:rsidRPr="00DE406A" w:rsidRDefault="00115EBE" w:rsidP="008119A4">
      <w:pPr>
        <w:spacing w:before="200" w:after="200" w:line="240" w:lineRule="atLeast"/>
        <w:jc w:val="center"/>
        <w:rPr>
          <w:rFonts w:ascii="Bookman Old Style" w:hAnsi="Bookman Old Style"/>
          <w:b/>
          <w:lang w:val="en-US"/>
        </w:rPr>
      </w:pPr>
      <w:r w:rsidRPr="00A641C3">
        <w:rPr>
          <w:rFonts w:ascii="Bookman Old Style" w:hAnsi="Bookman Old Style"/>
          <w:b/>
          <w:lang w:val="en-US"/>
        </w:rPr>
        <w:t>Greece</w:t>
      </w:r>
      <w:r w:rsidRPr="00DE406A">
        <w:rPr>
          <w:rFonts w:ascii="Bookman Old Style" w:hAnsi="Bookman Old Style"/>
          <w:b/>
          <w:lang w:val="en-US"/>
        </w:rPr>
        <w:t xml:space="preserve"> </w:t>
      </w:r>
      <w:r w:rsidRPr="00A641C3">
        <w:rPr>
          <w:rFonts w:ascii="Bookman Old Style" w:hAnsi="Bookman Old Style"/>
          <w:b/>
          <w:lang w:val="en-US"/>
        </w:rPr>
        <w:t>Macro</w:t>
      </w:r>
      <w:r w:rsidRPr="00DE406A">
        <w:rPr>
          <w:rFonts w:ascii="Bookman Old Style" w:hAnsi="Bookman Old Style"/>
          <w:b/>
          <w:lang w:val="en-US"/>
        </w:rPr>
        <w:t xml:space="preserve"> </w:t>
      </w:r>
      <w:r w:rsidRPr="00A641C3">
        <w:rPr>
          <w:rFonts w:ascii="Bookman Old Style" w:hAnsi="Bookman Old Style"/>
          <w:b/>
          <w:lang w:val="en-US"/>
        </w:rPr>
        <w:t>Monitor</w:t>
      </w:r>
    </w:p>
    <w:p w:rsidR="006C6E51" w:rsidRPr="00DE406A" w:rsidRDefault="006C6E51" w:rsidP="008119A4">
      <w:pPr>
        <w:spacing w:before="200" w:after="200" w:line="240" w:lineRule="atLeast"/>
        <w:jc w:val="center"/>
        <w:rPr>
          <w:rFonts w:ascii="Bookman Old Style" w:hAnsi="Bookman Old Style"/>
          <w:lang w:val="en-US"/>
        </w:rPr>
      </w:pPr>
      <w:r w:rsidRPr="00A641C3">
        <w:rPr>
          <w:rFonts w:ascii="Bookman Old Style" w:hAnsi="Bookman Old Style"/>
          <w:b/>
          <w:sz w:val="20"/>
          <w:szCs w:val="20"/>
          <w:u w:val="single"/>
        </w:rPr>
        <w:t>Περίληψη</w:t>
      </w:r>
      <w:r w:rsidRPr="00DE406A">
        <w:rPr>
          <w:rFonts w:ascii="Bookman Old Style" w:hAnsi="Bookman Old Style"/>
          <w:b/>
          <w:sz w:val="20"/>
          <w:szCs w:val="20"/>
          <w:u w:val="single"/>
          <w:lang w:val="en-US"/>
        </w:rPr>
        <w:t xml:space="preserve"> </w:t>
      </w:r>
      <w:r w:rsidRPr="00A641C3">
        <w:rPr>
          <w:rFonts w:ascii="Bookman Old Style" w:hAnsi="Bookman Old Style"/>
          <w:b/>
          <w:sz w:val="20"/>
          <w:szCs w:val="20"/>
          <w:u w:val="single"/>
        </w:rPr>
        <w:t>Μελέτης</w:t>
      </w:r>
    </w:p>
    <w:p w:rsidR="00D11FC5" w:rsidRPr="00D75149" w:rsidRDefault="006C6E51" w:rsidP="00D75149">
      <w:pPr>
        <w:spacing w:line="260" w:lineRule="atLeast"/>
        <w:jc w:val="both"/>
        <w:rPr>
          <w:rFonts w:ascii="Bookman Old Style" w:hAnsi="Bookman Old Style"/>
          <w:sz w:val="20"/>
          <w:szCs w:val="20"/>
        </w:rPr>
      </w:pPr>
      <w:r w:rsidRPr="00D75149">
        <w:rPr>
          <w:rFonts w:ascii="Bookman Old Style" w:hAnsi="Bookman Old Style"/>
          <w:b/>
          <w:sz w:val="20"/>
          <w:szCs w:val="20"/>
        </w:rPr>
        <w:t>Η</w:t>
      </w:r>
      <w:r w:rsidRPr="00D75149">
        <w:rPr>
          <w:rFonts w:ascii="Bookman Old Style" w:hAnsi="Bookman Old Style"/>
          <w:b/>
          <w:sz w:val="20"/>
          <w:szCs w:val="20"/>
          <w:lang w:val="en-US"/>
        </w:rPr>
        <w:t xml:space="preserve"> </w:t>
      </w:r>
      <w:r w:rsidRPr="00D75149">
        <w:rPr>
          <w:rFonts w:ascii="Bookman Old Style" w:hAnsi="Bookman Old Style"/>
          <w:b/>
          <w:sz w:val="20"/>
          <w:szCs w:val="20"/>
        </w:rPr>
        <w:t>Διεύθυνση</w:t>
      </w:r>
      <w:r w:rsidRPr="00D75149">
        <w:rPr>
          <w:rFonts w:ascii="Bookman Old Style" w:hAnsi="Bookman Old Style"/>
          <w:b/>
          <w:sz w:val="20"/>
          <w:szCs w:val="20"/>
          <w:lang w:val="en-US"/>
        </w:rPr>
        <w:t xml:space="preserve"> </w:t>
      </w:r>
      <w:r w:rsidR="00C93650" w:rsidRPr="00D75149">
        <w:rPr>
          <w:rFonts w:ascii="Bookman Old Style" w:hAnsi="Bookman Old Style"/>
          <w:b/>
          <w:sz w:val="20"/>
          <w:szCs w:val="20"/>
        </w:rPr>
        <w:t>Οικονομικής</w:t>
      </w:r>
      <w:r w:rsidR="00C93650" w:rsidRPr="00D75149">
        <w:rPr>
          <w:rFonts w:ascii="Bookman Old Style" w:hAnsi="Bookman Old Style"/>
          <w:b/>
          <w:sz w:val="20"/>
          <w:szCs w:val="20"/>
          <w:lang w:val="en-US"/>
        </w:rPr>
        <w:t xml:space="preserve"> </w:t>
      </w:r>
      <w:r w:rsidR="00C93650" w:rsidRPr="00D75149">
        <w:rPr>
          <w:rFonts w:ascii="Bookman Old Style" w:hAnsi="Bookman Old Style"/>
          <w:b/>
          <w:sz w:val="20"/>
          <w:szCs w:val="20"/>
        </w:rPr>
        <w:t>Ανάλυσης</w:t>
      </w:r>
      <w:r w:rsidR="00C93650" w:rsidRPr="00D75149">
        <w:rPr>
          <w:rFonts w:ascii="Bookman Old Style" w:hAnsi="Bookman Old Style"/>
          <w:b/>
          <w:sz w:val="20"/>
          <w:szCs w:val="20"/>
          <w:lang w:val="en-US"/>
        </w:rPr>
        <w:t xml:space="preserve"> </w:t>
      </w:r>
      <w:r w:rsidR="00C93650" w:rsidRPr="00D75149">
        <w:rPr>
          <w:rFonts w:ascii="Bookman Old Style" w:hAnsi="Bookman Old Style"/>
          <w:b/>
          <w:sz w:val="20"/>
          <w:szCs w:val="20"/>
        </w:rPr>
        <w:t>και</w:t>
      </w:r>
      <w:r w:rsidR="00C93650" w:rsidRPr="00D75149">
        <w:rPr>
          <w:rFonts w:ascii="Bookman Old Style" w:hAnsi="Bookman Old Style"/>
          <w:b/>
          <w:sz w:val="20"/>
          <w:szCs w:val="20"/>
          <w:lang w:val="en-US"/>
        </w:rPr>
        <w:t xml:space="preserve"> </w:t>
      </w:r>
      <w:r w:rsidR="00C93650" w:rsidRPr="00D75149">
        <w:rPr>
          <w:rFonts w:ascii="Bookman Old Style" w:hAnsi="Bookman Old Style"/>
          <w:b/>
          <w:sz w:val="20"/>
          <w:szCs w:val="20"/>
        </w:rPr>
        <w:t>Έρευνας</w:t>
      </w:r>
      <w:r w:rsidR="00C93650" w:rsidRPr="00D75149">
        <w:rPr>
          <w:rFonts w:ascii="Bookman Old Style" w:hAnsi="Bookman Old Style"/>
          <w:b/>
          <w:sz w:val="20"/>
          <w:szCs w:val="20"/>
          <w:lang w:val="en-US"/>
        </w:rPr>
        <w:t xml:space="preserve"> </w:t>
      </w:r>
      <w:r w:rsidR="00C93650" w:rsidRPr="00D75149">
        <w:rPr>
          <w:rFonts w:ascii="Bookman Old Style" w:hAnsi="Bookman Old Style"/>
          <w:b/>
          <w:sz w:val="20"/>
          <w:szCs w:val="20"/>
        </w:rPr>
        <w:t>Διεθνών</w:t>
      </w:r>
      <w:r w:rsidR="00C93650" w:rsidRPr="00D75149">
        <w:rPr>
          <w:rFonts w:ascii="Bookman Old Style" w:hAnsi="Bookman Old Style"/>
          <w:b/>
          <w:sz w:val="20"/>
          <w:szCs w:val="20"/>
          <w:lang w:val="en-US"/>
        </w:rPr>
        <w:t xml:space="preserve"> </w:t>
      </w:r>
      <w:r w:rsidR="00C93650" w:rsidRPr="00D75149">
        <w:rPr>
          <w:rFonts w:ascii="Bookman Old Style" w:hAnsi="Bookman Old Style"/>
          <w:b/>
          <w:sz w:val="20"/>
          <w:szCs w:val="20"/>
        </w:rPr>
        <w:t>Κεφαλαιαγορών</w:t>
      </w:r>
      <w:r w:rsidR="00C93650" w:rsidRPr="00D75149">
        <w:rPr>
          <w:rFonts w:ascii="Bookman Old Style" w:hAnsi="Bookman Old Style"/>
          <w:sz w:val="20"/>
          <w:szCs w:val="20"/>
          <w:lang w:val="en-US"/>
        </w:rPr>
        <w:t xml:space="preserve"> </w:t>
      </w:r>
      <w:r w:rsidRPr="00D75149">
        <w:rPr>
          <w:rFonts w:ascii="Bookman Old Style" w:hAnsi="Bookman Old Style"/>
          <w:b/>
          <w:sz w:val="20"/>
          <w:szCs w:val="20"/>
        </w:rPr>
        <w:t>της</w:t>
      </w:r>
      <w:r w:rsidRPr="00D75149">
        <w:rPr>
          <w:rFonts w:ascii="Bookman Old Style" w:hAnsi="Bookman Old Style"/>
          <w:b/>
          <w:sz w:val="20"/>
          <w:szCs w:val="20"/>
          <w:lang w:val="en-US"/>
        </w:rPr>
        <w:t xml:space="preserve"> Eurobank</w:t>
      </w:r>
      <w:r w:rsidRPr="00D75149">
        <w:rPr>
          <w:rFonts w:ascii="Bookman Old Style" w:hAnsi="Bookman Old Style"/>
          <w:sz w:val="20"/>
          <w:szCs w:val="20"/>
          <w:lang w:val="en-US"/>
        </w:rPr>
        <w:t xml:space="preserve"> </w:t>
      </w:r>
      <w:r w:rsidRPr="00D75149">
        <w:rPr>
          <w:rFonts w:ascii="Bookman Old Style" w:hAnsi="Bookman Old Style"/>
          <w:sz w:val="20"/>
          <w:szCs w:val="20"/>
        </w:rPr>
        <w:t>δημοσίευσε</w:t>
      </w:r>
      <w:r w:rsidRPr="00D75149">
        <w:rPr>
          <w:rFonts w:ascii="Bookman Old Style" w:hAnsi="Bookman Old Style"/>
          <w:sz w:val="20"/>
          <w:szCs w:val="20"/>
          <w:lang w:val="en-US"/>
        </w:rPr>
        <w:t xml:space="preserve"> </w:t>
      </w:r>
      <w:r w:rsidRPr="00D75149">
        <w:rPr>
          <w:rFonts w:ascii="Bookman Old Style" w:hAnsi="Bookman Old Style"/>
          <w:sz w:val="20"/>
          <w:szCs w:val="20"/>
        </w:rPr>
        <w:t>σήμερα</w:t>
      </w:r>
      <w:r w:rsidRPr="00D75149">
        <w:rPr>
          <w:rFonts w:ascii="Bookman Old Style" w:hAnsi="Bookman Old Style"/>
          <w:sz w:val="20"/>
          <w:szCs w:val="20"/>
          <w:lang w:val="en-US"/>
        </w:rPr>
        <w:t xml:space="preserve"> </w:t>
      </w:r>
      <w:r w:rsidR="00C329C7" w:rsidRPr="00D75149">
        <w:rPr>
          <w:rFonts w:ascii="Bookman Old Style" w:hAnsi="Bookman Old Style"/>
          <w:sz w:val="20"/>
          <w:szCs w:val="20"/>
        </w:rPr>
        <w:t>ειδική</w:t>
      </w:r>
      <w:r w:rsidR="00C329C7" w:rsidRPr="00D75149">
        <w:rPr>
          <w:rFonts w:ascii="Bookman Old Style" w:hAnsi="Bookman Old Style"/>
          <w:sz w:val="20"/>
          <w:szCs w:val="20"/>
          <w:lang w:val="en-US"/>
        </w:rPr>
        <w:t xml:space="preserve"> </w:t>
      </w:r>
      <w:r w:rsidR="00C329C7" w:rsidRPr="00D75149">
        <w:rPr>
          <w:rFonts w:ascii="Bookman Old Style" w:hAnsi="Bookman Old Style"/>
          <w:sz w:val="20"/>
          <w:szCs w:val="20"/>
        </w:rPr>
        <w:t>μελέτη</w:t>
      </w:r>
      <w:r w:rsidR="00C329C7" w:rsidRPr="00D75149">
        <w:rPr>
          <w:rFonts w:ascii="Bookman Old Style" w:hAnsi="Bookman Old Style"/>
          <w:sz w:val="20"/>
          <w:szCs w:val="20"/>
          <w:lang w:val="en-US"/>
        </w:rPr>
        <w:t xml:space="preserve"> </w:t>
      </w:r>
      <w:r w:rsidRPr="00D75149">
        <w:rPr>
          <w:rFonts w:ascii="Bookman Old Style" w:hAnsi="Bookman Old Style"/>
          <w:sz w:val="20"/>
          <w:szCs w:val="20"/>
        </w:rPr>
        <w:t>με</w:t>
      </w:r>
      <w:r w:rsidRPr="00D75149">
        <w:rPr>
          <w:rFonts w:ascii="Bookman Old Style" w:hAnsi="Bookman Old Style"/>
          <w:sz w:val="20"/>
          <w:szCs w:val="20"/>
          <w:lang w:val="en-US"/>
        </w:rPr>
        <w:t xml:space="preserve"> </w:t>
      </w:r>
      <w:r w:rsidRPr="00D75149">
        <w:rPr>
          <w:rFonts w:ascii="Bookman Old Style" w:hAnsi="Bookman Old Style"/>
          <w:sz w:val="20"/>
          <w:szCs w:val="20"/>
        </w:rPr>
        <w:t>τίτλο</w:t>
      </w:r>
      <w:r w:rsidRPr="00D75149">
        <w:rPr>
          <w:rFonts w:ascii="Bookman Old Style" w:hAnsi="Bookman Old Style"/>
          <w:sz w:val="20"/>
          <w:szCs w:val="20"/>
          <w:lang w:val="en-US"/>
        </w:rPr>
        <w:t xml:space="preserve"> </w:t>
      </w:r>
      <w:r w:rsidRPr="00D75149">
        <w:rPr>
          <w:rFonts w:ascii="Bookman Old Style" w:hAnsi="Bookman Old Style"/>
          <w:b/>
          <w:i/>
          <w:sz w:val="20"/>
          <w:szCs w:val="20"/>
          <w:lang w:val="en-US"/>
        </w:rPr>
        <w:t>«</w:t>
      </w:r>
      <w:r w:rsidR="00D75149">
        <w:rPr>
          <w:rFonts w:ascii="Bookman Old Style" w:hAnsi="Bookman Old Style"/>
          <w:b/>
          <w:sz w:val="20"/>
          <w:szCs w:val="20"/>
          <w:lang w:val="en-US"/>
        </w:rPr>
        <w:t xml:space="preserve">Greek labour market reform </w:t>
      </w:r>
      <w:r w:rsidR="00D75149" w:rsidRPr="00D75149">
        <w:rPr>
          <w:rFonts w:ascii="Bookman Old Style" w:hAnsi="Bookman Old Style"/>
          <w:b/>
          <w:sz w:val="20"/>
          <w:szCs w:val="20"/>
          <w:lang w:val="en-US"/>
        </w:rPr>
        <w:t>and the agenda of the 2</w:t>
      </w:r>
      <w:r w:rsidR="00D75149" w:rsidRPr="00D75149">
        <w:rPr>
          <w:rFonts w:ascii="Bookman Old Style" w:hAnsi="Bookman Old Style"/>
          <w:b/>
          <w:sz w:val="20"/>
          <w:szCs w:val="20"/>
          <w:vertAlign w:val="superscript"/>
          <w:lang w:val="en-US"/>
        </w:rPr>
        <w:t>nd</w:t>
      </w:r>
      <w:r w:rsidR="00D75149" w:rsidRPr="00D75149">
        <w:rPr>
          <w:rFonts w:ascii="Bookman Old Style" w:hAnsi="Bookman Old Style"/>
          <w:b/>
          <w:sz w:val="20"/>
          <w:szCs w:val="20"/>
          <w:lang w:val="en-US"/>
        </w:rPr>
        <w:t xml:space="preserve"> programme review</w:t>
      </w:r>
      <w:r w:rsidR="00117B85" w:rsidRPr="00D75149">
        <w:rPr>
          <w:rFonts w:ascii="Bookman Old Style" w:hAnsi="Bookman Old Style"/>
          <w:b/>
          <w:i/>
          <w:sz w:val="20"/>
          <w:szCs w:val="20"/>
          <w:lang w:val="en-US"/>
        </w:rPr>
        <w:t>»</w:t>
      </w:r>
      <w:r w:rsidR="00C93650" w:rsidRPr="00D75149">
        <w:rPr>
          <w:rFonts w:ascii="Bookman Old Style" w:hAnsi="Bookman Old Style"/>
          <w:b/>
          <w:sz w:val="20"/>
          <w:szCs w:val="20"/>
          <w:lang w:val="en-US"/>
        </w:rPr>
        <w:t>.</w:t>
      </w:r>
      <w:r w:rsidRPr="00D75149">
        <w:rPr>
          <w:rFonts w:ascii="Bookman Old Style" w:hAnsi="Bookman Old Style"/>
          <w:b/>
          <w:i/>
          <w:sz w:val="20"/>
          <w:szCs w:val="20"/>
          <w:lang w:val="en-US"/>
        </w:rPr>
        <w:t xml:space="preserve"> </w:t>
      </w:r>
      <w:r w:rsidRPr="00D75149">
        <w:rPr>
          <w:rFonts w:ascii="Bookman Old Style" w:hAnsi="Bookman Old Style"/>
          <w:sz w:val="20"/>
          <w:szCs w:val="20"/>
        </w:rPr>
        <w:t xml:space="preserve">Τη </w:t>
      </w:r>
      <w:r w:rsidR="00D75149">
        <w:rPr>
          <w:rFonts w:ascii="Bookman Old Style" w:hAnsi="Bookman Old Style"/>
          <w:sz w:val="20"/>
          <w:szCs w:val="20"/>
        </w:rPr>
        <w:t>συγγραφή της έκθεσης επιμελήθηκε</w:t>
      </w:r>
      <w:r w:rsidRPr="00D75149">
        <w:rPr>
          <w:rFonts w:ascii="Bookman Old Style" w:hAnsi="Bookman Old Style"/>
          <w:sz w:val="20"/>
          <w:szCs w:val="20"/>
        </w:rPr>
        <w:t xml:space="preserve"> ο Δρ. Πλάτων Μονοκρούσος, </w:t>
      </w:r>
      <w:r w:rsidR="00C93650" w:rsidRPr="00D75149">
        <w:rPr>
          <w:rFonts w:ascii="Bookman Old Style" w:hAnsi="Bookman Old Style"/>
          <w:sz w:val="20"/>
          <w:szCs w:val="20"/>
        </w:rPr>
        <w:t>Επικεφαλής Οικονομολόγος του Ομίλου</w:t>
      </w:r>
      <w:r w:rsidR="00FD142B" w:rsidRPr="00D75149">
        <w:rPr>
          <w:rFonts w:ascii="Bookman Old Style" w:hAnsi="Bookman Old Style"/>
          <w:sz w:val="20"/>
          <w:szCs w:val="20"/>
        </w:rPr>
        <w:t xml:space="preserve"> </w:t>
      </w:r>
      <w:r w:rsidR="00FD142B" w:rsidRPr="00D75149">
        <w:rPr>
          <w:rFonts w:ascii="Bookman Old Style" w:hAnsi="Bookman Old Style"/>
          <w:sz w:val="20"/>
          <w:szCs w:val="20"/>
          <w:lang w:val="en-US"/>
        </w:rPr>
        <w:t>Eurobank</w:t>
      </w:r>
      <w:r w:rsidR="00D75149">
        <w:rPr>
          <w:rFonts w:ascii="Bookman Old Style" w:hAnsi="Bookman Old Style"/>
          <w:sz w:val="20"/>
          <w:szCs w:val="20"/>
        </w:rPr>
        <w:t xml:space="preserve"> και οι Οικονομολόγοι της Τράπεζας Δρ. Θεόδωρος Σταματίου και Άννα Δημητριάδου. </w:t>
      </w:r>
    </w:p>
    <w:p w:rsidR="005A2D32" w:rsidRPr="00A641C3" w:rsidRDefault="0054360F" w:rsidP="008119A4">
      <w:pPr>
        <w:spacing w:before="200" w:after="200" w:line="240" w:lineRule="atLeast"/>
        <w:jc w:val="center"/>
        <w:rPr>
          <w:rFonts w:ascii="Bookman Old Style" w:hAnsi="Bookman Old Style"/>
          <w:b/>
          <w:sz w:val="20"/>
          <w:szCs w:val="20"/>
          <w:u w:val="single"/>
        </w:rPr>
      </w:pPr>
      <w:r w:rsidRPr="00A641C3">
        <w:rPr>
          <w:rFonts w:ascii="Bookman Old Style" w:hAnsi="Bookman Old Style"/>
          <w:b/>
          <w:sz w:val="20"/>
          <w:szCs w:val="20"/>
          <w:u w:val="single"/>
        </w:rPr>
        <w:t>Βασικ</w:t>
      </w:r>
      <w:r w:rsidR="00A641C3">
        <w:rPr>
          <w:rFonts w:ascii="Bookman Old Style" w:hAnsi="Bookman Old Style"/>
          <w:b/>
          <w:sz w:val="20"/>
          <w:szCs w:val="20"/>
          <w:u w:val="single"/>
        </w:rPr>
        <w:t>ές επισημάνσεις &amp;</w:t>
      </w:r>
      <w:r w:rsidR="001135A5" w:rsidRPr="00A641C3">
        <w:rPr>
          <w:rFonts w:ascii="Bookman Old Style" w:hAnsi="Bookman Old Style"/>
          <w:b/>
          <w:sz w:val="20"/>
          <w:szCs w:val="20"/>
          <w:u w:val="single"/>
        </w:rPr>
        <w:t xml:space="preserve"> συμπεράσματα</w:t>
      </w:r>
      <w:r w:rsidR="00BA4A31" w:rsidRPr="00A641C3">
        <w:rPr>
          <w:rFonts w:ascii="Bookman Old Style" w:hAnsi="Bookman Old Style"/>
          <w:b/>
          <w:sz w:val="20"/>
          <w:szCs w:val="20"/>
          <w:u w:val="single"/>
        </w:rPr>
        <w:t xml:space="preserve"> </w:t>
      </w:r>
      <w:r w:rsidR="00CE7AFA" w:rsidRPr="00A641C3">
        <w:rPr>
          <w:rFonts w:ascii="Bookman Old Style" w:hAnsi="Bookman Old Style"/>
          <w:b/>
          <w:sz w:val="20"/>
          <w:szCs w:val="20"/>
          <w:u w:val="single"/>
        </w:rPr>
        <w:t>μελέτης</w:t>
      </w:r>
    </w:p>
    <w:p w:rsidR="00C46640" w:rsidRPr="0027437C" w:rsidRDefault="00C46640" w:rsidP="008119A4">
      <w:pPr>
        <w:spacing w:before="200" w:after="200" w:line="240" w:lineRule="atLeast"/>
        <w:jc w:val="both"/>
        <w:rPr>
          <w:rFonts w:ascii="Bookman Old Style" w:hAnsi="Bookman Old Style"/>
          <w:sz w:val="20"/>
          <w:szCs w:val="20"/>
        </w:rPr>
      </w:pPr>
      <w:r w:rsidRPr="0027437C">
        <w:rPr>
          <w:rFonts w:ascii="Bookman Old Style" w:hAnsi="Bookman Old Style"/>
          <w:sz w:val="20"/>
          <w:szCs w:val="20"/>
        </w:rPr>
        <w:t xml:space="preserve">Η </w:t>
      </w:r>
      <w:r>
        <w:rPr>
          <w:rFonts w:ascii="Bookman Old Style" w:hAnsi="Bookman Old Style"/>
          <w:sz w:val="20"/>
          <w:szCs w:val="20"/>
        </w:rPr>
        <w:t>2</w:t>
      </w:r>
      <w:r w:rsidRPr="00C46640">
        <w:rPr>
          <w:rFonts w:ascii="Bookman Old Style" w:hAnsi="Bookman Old Style"/>
          <w:sz w:val="20"/>
          <w:szCs w:val="20"/>
          <w:vertAlign w:val="superscript"/>
        </w:rPr>
        <w:t>η</w:t>
      </w:r>
      <w:r>
        <w:rPr>
          <w:rFonts w:ascii="Bookman Old Style" w:hAnsi="Bookman Old Style"/>
          <w:sz w:val="20"/>
          <w:szCs w:val="20"/>
        </w:rPr>
        <w:t xml:space="preserve"> </w:t>
      </w:r>
      <w:r w:rsidRPr="0027437C">
        <w:rPr>
          <w:rFonts w:ascii="Bookman Old Style" w:hAnsi="Bookman Old Style"/>
          <w:sz w:val="20"/>
          <w:szCs w:val="20"/>
        </w:rPr>
        <w:t>αξιολόγηση του 3</w:t>
      </w:r>
      <w:r w:rsidRPr="0027437C">
        <w:rPr>
          <w:rFonts w:ascii="Bookman Old Style" w:hAnsi="Bookman Old Style"/>
          <w:sz w:val="20"/>
          <w:szCs w:val="20"/>
          <w:vertAlign w:val="superscript"/>
        </w:rPr>
        <w:t>ου</w:t>
      </w:r>
      <w:r w:rsidRPr="0027437C">
        <w:rPr>
          <w:rFonts w:ascii="Bookman Old Style" w:hAnsi="Bookman Old Style"/>
          <w:sz w:val="20"/>
          <w:szCs w:val="20"/>
        </w:rPr>
        <w:t xml:space="preserve"> Προγράμματος </w:t>
      </w:r>
      <w:r w:rsidR="00D75149">
        <w:rPr>
          <w:rFonts w:ascii="Bookman Old Style" w:hAnsi="Bookman Old Style"/>
          <w:sz w:val="20"/>
          <w:szCs w:val="20"/>
        </w:rPr>
        <w:t xml:space="preserve">Οικονομικής </w:t>
      </w:r>
      <w:r w:rsidRPr="0027437C">
        <w:rPr>
          <w:rFonts w:ascii="Bookman Old Style" w:hAnsi="Bookman Old Style"/>
          <w:sz w:val="20"/>
          <w:szCs w:val="20"/>
        </w:rPr>
        <w:t xml:space="preserve">Προσαρμογής είναι κομβικής σημασίας για </w:t>
      </w:r>
      <w:r w:rsidR="00D75149">
        <w:rPr>
          <w:rFonts w:ascii="Bookman Old Style" w:hAnsi="Bookman Old Style"/>
          <w:sz w:val="20"/>
          <w:szCs w:val="20"/>
        </w:rPr>
        <w:t>τις προοπτικές</w:t>
      </w:r>
      <w:r w:rsidRPr="0027437C">
        <w:rPr>
          <w:rFonts w:ascii="Bookman Old Style" w:hAnsi="Bookman Old Style"/>
          <w:sz w:val="20"/>
          <w:szCs w:val="20"/>
        </w:rPr>
        <w:t xml:space="preserve"> της ελληνικής οικονομίας καθότι η </w:t>
      </w:r>
      <w:r w:rsidR="009456D7">
        <w:rPr>
          <w:rFonts w:ascii="Bookman Old Style" w:hAnsi="Bookman Old Style"/>
          <w:sz w:val="20"/>
          <w:szCs w:val="20"/>
        </w:rPr>
        <w:t xml:space="preserve">ταχεία και </w:t>
      </w:r>
      <w:bookmarkStart w:id="0" w:name="_GoBack"/>
      <w:bookmarkEnd w:id="0"/>
      <w:r w:rsidRPr="0027437C">
        <w:rPr>
          <w:rFonts w:ascii="Bookman Old Style" w:hAnsi="Bookman Old Style"/>
          <w:sz w:val="20"/>
          <w:szCs w:val="20"/>
        </w:rPr>
        <w:t xml:space="preserve">επιτυχής ολοκλήρωσή της όχι μόνο θα επιτρέψει νέα χρηματοδότηση ύψους 6,1 δις. ευρώ </w:t>
      </w:r>
      <w:r w:rsidR="00720B68">
        <w:rPr>
          <w:rFonts w:ascii="Bookman Old Style" w:hAnsi="Bookman Old Style"/>
          <w:sz w:val="20"/>
          <w:szCs w:val="20"/>
        </w:rPr>
        <w:t>από τον επίσημο τομέα</w:t>
      </w:r>
      <w:r w:rsidR="00720B68" w:rsidRPr="00720B68">
        <w:rPr>
          <w:rFonts w:ascii="Bookman Old Style" w:hAnsi="Bookman Old Style"/>
          <w:sz w:val="20"/>
          <w:szCs w:val="20"/>
        </w:rPr>
        <w:t xml:space="preserve"> </w:t>
      </w:r>
      <w:r w:rsidRPr="0027437C">
        <w:rPr>
          <w:rFonts w:ascii="Bookman Old Style" w:hAnsi="Bookman Old Style"/>
          <w:sz w:val="20"/>
          <w:szCs w:val="20"/>
        </w:rPr>
        <w:t>αλλά θα ανοίξει και το δρόμο για μια σειρά σημαντικών, θετικών εξελίξεων μέσω της συμμετοχής της Ελλάδας στο υφιστάμενο πρόγραμμα ποσοτικής χαλάρωσης</w:t>
      </w:r>
      <w:r>
        <w:rPr>
          <w:rFonts w:ascii="Bookman Old Style" w:hAnsi="Bookman Old Style"/>
          <w:sz w:val="20"/>
          <w:szCs w:val="20"/>
        </w:rPr>
        <w:t xml:space="preserve"> (</w:t>
      </w:r>
      <w:r w:rsidRPr="0027437C">
        <w:rPr>
          <w:rFonts w:ascii="Bookman Old Style" w:hAnsi="Bookman Old Style"/>
          <w:sz w:val="20"/>
          <w:szCs w:val="20"/>
        </w:rPr>
        <w:t>PSPP</w:t>
      </w:r>
      <w:r>
        <w:rPr>
          <w:rFonts w:ascii="Bookman Old Style" w:hAnsi="Bookman Old Style"/>
          <w:sz w:val="20"/>
          <w:szCs w:val="20"/>
        </w:rPr>
        <w:t>)</w:t>
      </w:r>
      <w:r w:rsidRPr="0027437C">
        <w:rPr>
          <w:rFonts w:ascii="Bookman Old Style" w:hAnsi="Bookman Old Style"/>
          <w:sz w:val="20"/>
          <w:szCs w:val="20"/>
        </w:rPr>
        <w:t xml:space="preserve"> της Ευρωπαϊκής Κεντρικής Τράπεζας</w:t>
      </w:r>
      <w:r w:rsidR="008119A4" w:rsidRPr="008119A4">
        <w:rPr>
          <w:rFonts w:ascii="Bookman Old Style" w:hAnsi="Bookman Old Style"/>
          <w:sz w:val="20"/>
          <w:szCs w:val="20"/>
        </w:rPr>
        <w:t>,</w:t>
      </w:r>
      <w:r w:rsidR="00C60676">
        <w:rPr>
          <w:rFonts w:ascii="Bookman Old Style" w:hAnsi="Bookman Old Style"/>
          <w:sz w:val="20"/>
          <w:szCs w:val="20"/>
        </w:rPr>
        <w:t xml:space="preserve"> ό</w:t>
      </w:r>
      <w:r w:rsidRPr="0027437C">
        <w:rPr>
          <w:rFonts w:ascii="Bookman Old Style" w:hAnsi="Bookman Old Style"/>
          <w:sz w:val="20"/>
          <w:szCs w:val="20"/>
        </w:rPr>
        <w:t>πως αναλύθηκε στην πρόσφατη έκθεσή μας «</w:t>
      </w:r>
      <w:r w:rsidRPr="0027437C">
        <w:rPr>
          <w:rFonts w:ascii="Bookman Old Style" w:hAnsi="Bookman Old Style"/>
          <w:sz w:val="20"/>
          <w:szCs w:val="20"/>
          <w:lang w:val="en-US"/>
        </w:rPr>
        <w:t>Possible</w:t>
      </w:r>
      <w:r w:rsidRPr="0027437C">
        <w:rPr>
          <w:rFonts w:ascii="Bookman Old Style" w:hAnsi="Bookman Old Style"/>
          <w:sz w:val="20"/>
          <w:szCs w:val="20"/>
        </w:rPr>
        <w:t xml:space="preserve"> </w:t>
      </w:r>
      <w:r w:rsidRPr="0027437C">
        <w:rPr>
          <w:rFonts w:ascii="Bookman Old Style" w:hAnsi="Bookman Old Style"/>
          <w:sz w:val="20"/>
          <w:szCs w:val="20"/>
          <w:lang w:val="en-US"/>
        </w:rPr>
        <w:t>QE</w:t>
      </w:r>
      <w:r w:rsidRPr="0027437C">
        <w:rPr>
          <w:rFonts w:ascii="Bookman Old Style" w:hAnsi="Bookman Old Style"/>
          <w:sz w:val="20"/>
          <w:szCs w:val="20"/>
        </w:rPr>
        <w:t xml:space="preserve"> </w:t>
      </w:r>
      <w:r w:rsidRPr="0027437C">
        <w:rPr>
          <w:rFonts w:ascii="Bookman Old Style" w:hAnsi="Bookman Old Style"/>
          <w:sz w:val="20"/>
          <w:szCs w:val="20"/>
          <w:lang w:val="en-US"/>
        </w:rPr>
        <w:t>for</w:t>
      </w:r>
      <w:r w:rsidRPr="0027437C">
        <w:rPr>
          <w:rFonts w:ascii="Bookman Old Style" w:hAnsi="Bookman Old Style"/>
          <w:sz w:val="20"/>
          <w:szCs w:val="20"/>
        </w:rPr>
        <w:t xml:space="preserve"> </w:t>
      </w:r>
      <w:r w:rsidRPr="0027437C">
        <w:rPr>
          <w:rFonts w:ascii="Bookman Old Style" w:hAnsi="Bookman Old Style"/>
          <w:sz w:val="20"/>
          <w:szCs w:val="20"/>
          <w:lang w:val="en-US"/>
        </w:rPr>
        <w:t>Greece</w:t>
      </w:r>
      <w:r w:rsidRPr="0027437C">
        <w:rPr>
          <w:rFonts w:ascii="Bookman Old Style" w:hAnsi="Bookman Old Style"/>
          <w:sz w:val="20"/>
          <w:szCs w:val="20"/>
        </w:rPr>
        <w:t xml:space="preserve">: </w:t>
      </w:r>
      <w:r w:rsidRPr="0027437C">
        <w:rPr>
          <w:rFonts w:ascii="Bookman Old Style" w:hAnsi="Bookman Old Style"/>
          <w:sz w:val="20"/>
          <w:szCs w:val="20"/>
          <w:lang w:val="en-US"/>
        </w:rPr>
        <w:t>a</w:t>
      </w:r>
      <w:r w:rsidRPr="0027437C">
        <w:rPr>
          <w:rFonts w:ascii="Bookman Old Style" w:hAnsi="Bookman Old Style"/>
          <w:sz w:val="20"/>
          <w:szCs w:val="20"/>
        </w:rPr>
        <w:t xml:space="preserve"> </w:t>
      </w:r>
      <w:r w:rsidRPr="0027437C">
        <w:rPr>
          <w:rFonts w:ascii="Bookman Old Style" w:hAnsi="Bookman Old Style"/>
          <w:sz w:val="20"/>
          <w:szCs w:val="20"/>
          <w:lang w:val="en-US"/>
        </w:rPr>
        <w:t>game</w:t>
      </w:r>
      <w:r w:rsidRPr="0027437C">
        <w:rPr>
          <w:rFonts w:ascii="Bookman Old Style" w:hAnsi="Bookman Old Style"/>
          <w:sz w:val="20"/>
          <w:szCs w:val="20"/>
        </w:rPr>
        <w:t xml:space="preserve"> </w:t>
      </w:r>
      <w:r w:rsidRPr="0027437C">
        <w:rPr>
          <w:rFonts w:ascii="Bookman Old Style" w:hAnsi="Bookman Old Style"/>
          <w:sz w:val="20"/>
          <w:szCs w:val="20"/>
          <w:lang w:val="en-US"/>
        </w:rPr>
        <w:t>changer</w:t>
      </w:r>
      <w:r w:rsidRPr="0027437C">
        <w:rPr>
          <w:rFonts w:ascii="Bookman Old Style" w:hAnsi="Bookman Old Style"/>
          <w:sz w:val="20"/>
          <w:szCs w:val="20"/>
        </w:rPr>
        <w:t>?», 28 Σεπτεμβρίου 2016</w:t>
      </w:r>
      <w:r w:rsidR="00C60676">
        <w:rPr>
          <w:rFonts w:ascii="Bookman Old Style" w:hAnsi="Bookman Old Style"/>
          <w:sz w:val="20"/>
          <w:szCs w:val="20"/>
        </w:rPr>
        <w:t>.</w:t>
      </w:r>
      <w:r w:rsidRPr="0027437C">
        <w:rPr>
          <w:rFonts w:ascii="Bookman Old Style" w:hAnsi="Bookman Old Style"/>
          <w:sz w:val="20"/>
          <w:szCs w:val="20"/>
        </w:rPr>
        <w:t xml:space="preserve"> </w:t>
      </w:r>
    </w:p>
    <w:p w:rsidR="00C46640" w:rsidRPr="00DE406A" w:rsidRDefault="00B44AED" w:rsidP="008119A4">
      <w:pPr>
        <w:spacing w:before="200" w:after="200" w:line="240" w:lineRule="atLeast"/>
        <w:jc w:val="both"/>
        <w:rPr>
          <w:rFonts w:ascii="Bookman Old Style" w:hAnsi="Bookman Old Style"/>
          <w:sz w:val="20"/>
          <w:szCs w:val="20"/>
        </w:rPr>
      </w:pPr>
      <w:r>
        <w:rPr>
          <w:rFonts w:ascii="Bookman Old Style" w:hAnsi="Bookman Old Style"/>
          <w:sz w:val="20"/>
          <w:szCs w:val="20"/>
        </w:rPr>
        <w:t>Κεντρικό θέμα και πιθανότατα σημείο τριβής στη 2</w:t>
      </w:r>
      <w:r w:rsidRPr="00B44AED">
        <w:rPr>
          <w:rFonts w:ascii="Bookman Old Style" w:hAnsi="Bookman Old Style"/>
          <w:sz w:val="20"/>
          <w:szCs w:val="20"/>
          <w:vertAlign w:val="superscript"/>
        </w:rPr>
        <w:t>η</w:t>
      </w:r>
      <w:r>
        <w:rPr>
          <w:rFonts w:ascii="Bookman Old Style" w:hAnsi="Bookman Old Style"/>
          <w:sz w:val="20"/>
          <w:szCs w:val="20"/>
        </w:rPr>
        <w:t xml:space="preserve"> αξιολόγηση θα αποτελέσουν οι μεταρρυθμίσεις στην αγορά εργασίας. </w:t>
      </w:r>
      <w:r w:rsidR="009A59C4">
        <w:rPr>
          <w:rFonts w:ascii="Bookman Old Style" w:hAnsi="Bookman Old Style"/>
          <w:sz w:val="20"/>
          <w:szCs w:val="20"/>
        </w:rPr>
        <w:t>Το 2012 εφαρμόστηκαν</w:t>
      </w:r>
      <w:r w:rsidR="00C46640">
        <w:rPr>
          <w:rFonts w:ascii="Bookman Old Style" w:hAnsi="Bookman Old Style"/>
          <w:sz w:val="20"/>
          <w:szCs w:val="20"/>
        </w:rPr>
        <w:t xml:space="preserve"> στην Ελλάδα μια σειρά </w:t>
      </w:r>
      <w:r w:rsidR="009A59C4">
        <w:rPr>
          <w:rFonts w:ascii="Bookman Old Style" w:hAnsi="Bookman Old Style"/>
          <w:sz w:val="20"/>
          <w:szCs w:val="20"/>
        </w:rPr>
        <w:t xml:space="preserve">από </w:t>
      </w:r>
      <w:r w:rsidR="00C46640">
        <w:rPr>
          <w:rFonts w:ascii="Bookman Old Style" w:hAnsi="Bookman Old Style"/>
          <w:sz w:val="20"/>
          <w:szCs w:val="20"/>
        </w:rPr>
        <w:t>μεταρρυθμίσε</w:t>
      </w:r>
      <w:r w:rsidR="009A59C4">
        <w:rPr>
          <w:rFonts w:ascii="Bookman Old Style" w:hAnsi="Bookman Old Style"/>
          <w:sz w:val="20"/>
          <w:szCs w:val="20"/>
        </w:rPr>
        <w:t>ις</w:t>
      </w:r>
      <w:r w:rsidR="00C46640">
        <w:rPr>
          <w:rFonts w:ascii="Bookman Old Style" w:hAnsi="Bookman Old Style"/>
          <w:sz w:val="20"/>
          <w:szCs w:val="20"/>
        </w:rPr>
        <w:t xml:space="preserve"> </w:t>
      </w:r>
      <w:r w:rsidR="006237ED">
        <w:rPr>
          <w:rFonts w:ascii="Bookman Old Style" w:hAnsi="Bookman Old Style"/>
          <w:sz w:val="20"/>
          <w:szCs w:val="20"/>
        </w:rPr>
        <w:t xml:space="preserve">με </w:t>
      </w:r>
      <w:r w:rsidR="00C60676">
        <w:rPr>
          <w:rFonts w:ascii="Bookman Old Style" w:hAnsi="Bookman Old Style"/>
          <w:sz w:val="20"/>
          <w:szCs w:val="20"/>
        </w:rPr>
        <w:t>σημαντικότερη</w:t>
      </w:r>
      <w:r w:rsidR="00C46640">
        <w:rPr>
          <w:rFonts w:ascii="Bookman Old Style" w:hAnsi="Bookman Old Style"/>
          <w:sz w:val="20"/>
          <w:szCs w:val="20"/>
        </w:rPr>
        <w:t xml:space="preserve"> </w:t>
      </w:r>
      <w:r w:rsidR="006237ED">
        <w:rPr>
          <w:rFonts w:ascii="Bookman Old Style" w:hAnsi="Bookman Old Style"/>
          <w:sz w:val="20"/>
          <w:szCs w:val="20"/>
        </w:rPr>
        <w:t>την</w:t>
      </w:r>
      <w:r w:rsidR="00C46640">
        <w:rPr>
          <w:rFonts w:ascii="Bookman Old Style" w:hAnsi="Bookman Old Style"/>
          <w:sz w:val="20"/>
          <w:szCs w:val="20"/>
        </w:rPr>
        <w:t xml:space="preserve"> κατάργηση της Εθνικής Συλλογικής Σύμβασης Εργασίας</w:t>
      </w:r>
      <w:r w:rsidR="003F284D">
        <w:rPr>
          <w:rFonts w:ascii="Bookman Old Style" w:hAnsi="Bookman Old Style"/>
          <w:sz w:val="20"/>
          <w:szCs w:val="20"/>
        </w:rPr>
        <w:t>.</w:t>
      </w:r>
      <w:r w:rsidR="00C46640">
        <w:rPr>
          <w:rFonts w:ascii="Bookman Old Style" w:hAnsi="Bookman Old Style"/>
          <w:sz w:val="20"/>
          <w:szCs w:val="20"/>
        </w:rPr>
        <w:t xml:space="preserve"> Το Μνημόνιο που υπογράφηκε τον Αύγουστο του 2015 προβλέπει περαιτέρω μεταρρυθμίσεις στην αγορά εργασίας στο πλαίσιο της ενίσχυσης της ανταγωνιστικότητας και της ανάπτυξης. </w:t>
      </w:r>
      <w:r w:rsidR="009A59C4">
        <w:rPr>
          <w:rFonts w:ascii="Bookman Old Style" w:hAnsi="Bookman Old Style"/>
          <w:sz w:val="20"/>
          <w:szCs w:val="20"/>
        </w:rPr>
        <w:t xml:space="preserve">Προς τούτο συγκροτήθηκε ανεξάρτητη Επιτροπή Σοφών </w:t>
      </w:r>
      <w:r w:rsidR="00C60676">
        <w:rPr>
          <w:rFonts w:ascii="Bookman Old Style" w:hAnsi="Bookman Old Style"/>
          <w:sz w:val="20"/>
          <w:szCs w:val="20"/>
        </w:rPr>
        <w:t>η οποία εξέδωσε πόρισμα</w:t>
      </w:r>
      <w:r w:rsidR="009A59C4">
        <w:rPr>
          <w:rFonts w:ascii="Bookman Old Style" w:hAnsi="Bookman Old Style"/>
          <w:sz w:val="20"/>
          <w:szCs w:val="20"/>
        </w:rPr>
        <w:t xml:space="preserve"> </w:t>
      </w:r>
      <w:r w:rsidR="00C60676">
        <w:rPr>
          <w:rFonts w:ascii="Bookman Old Style" w:hAnsi="Bookman Old Style"/>
          <w:sz w:val="20"/>
          <w:szCs w:val="20"/>
        </w:rPr>
        <w:t>με</w:t>
      </w:r>
      <w:r w:rsidR="009A59C4">
        <w:rPr>
          <w:rFonts w:ascii="Bookman Old Style" w:hAnsi="Bookman Old Style"/>
          <w:sz w:val="20"/>
          <w:szCs w:val="20"/>
        </w:rPr>
        <w:t xml:space="preserve"> συστάσεις για τις μεταρρυθμίσεις που θα πρέπει η Ελλάδα να εφαρμόσει στο πλαίσιο του Μνημονίου και σε σύμπνοια με τις βέλτιστες ευρωπαϊκές πρακτικές. Οι συστάσεις της Επιτροπής Σοφών </w:t>
      </w:r>
      <w:r w:rsidR="00D64218">
        <w:rPr>
          <w:rFonts w:ascii="Bookman Old Style" w:hAnsi="Bookman Old Style"/>
          <w:sz w:val="20"/>
          <w:szCs w:val="20"/>
        </w:rPr>
        <w:t xml:space="preserve">έχουν </w:t>
      </w:r>
      <w:r w:rsidR="009A59C4">
        <w:rPr>
          <w:rFonts w:ascii="Bookman Old Style" w:hAnsi="Bookman Old Style"/>
          <w:sz w:val="20"/>
          <w:szCs w:val="20"/>
        </w:rPr>
        <w:t>αμιγώς</w:t>
      </w:r>
      <w:r w:rsidR="00265D17">
        <w:rPr>
          <w:rFonts w:ascii="Bookman Old Style" w:hAnsi="Bookman Old Style"/>
          <w:sz w:val="20"/>
          <w:szCs w:val="20"/>
        </w:rPr>
        <w:t xml:space="preserve"> συμβουλευτικό και όχι δεσμ</w:t>
      </w:r>
      <w:r w:rsidR="00B276E4">
        <w:rPr>
          <w:rFonts w:ascii="Bookman Old Style" w:hAnsi="Bookman Old Style"/>
          <w:sz w:val="20"/>
          <w:szCs w:val="20"/>
        </w:rPr>
        <w:t xml:space="preserve">ευτικό χαρακτήρα, </w:t>
      </w:r>
      <w:r w:rsidR="009A59C4">
        <w:rPr>
          <w:rFonts w:ascii="Bookman Old Style" w:hAnsi="Bookman Old Style"/>
          <w:sz w:val="20"/>
          <w:szCs w:val="20"/>
        </w:rPr>
        <w:t xml:space="preserve">και </w:t>
      </w:r>
      <w:r w:rsidR="00B276E4">
        <w:rPr>
          <w:rFonts w:ascii="Bookman Old Style" w:hAnsi="Bookman Old Style"/>
          <w:sz w:val="20"/>
          <w:szCs w:val="20"/>
        </w:rPr>
        <w:t>θα αποτελέσ</w:t>
      </w:r>
      <w:r w:rsidR="009A59C4">
        <w:rPr>
          <w:rFonts w:ascii="Bookman Old Style" w:hAnsi="Bookman Old Style"/>
          <w:sz w:val="20"/>
          <w:szCs w:val="20"/>
        </w:rPr>
        <w:t>ουν</w:t>
      </w:r>
      <w:r w:rsidR="00265D17">
        <w:rPr>
          <w:rFonts w:ascii="Bookman Old Style" w:hAnsi="Bookman Old Style"/>
          <w:sz w:val="20"/>
          <w:szCs w:val="20"/>
        </w:rPr>
        <w:t xml:space="preserve"> το σημείο εκκίνησης στις επερχόμενες διαπραγματεύσεις. </w:t>
      </w:r>
      <w:r w:rsidR="00C60676">
        <w:rPr>
          <w:rFonts w:ascii="Bookman Old Style" w:hAnsi="Bookman Old Style"/>
          <w:sz w:val="20"/>
          <w:szCs w:val="20"/>
        </w:rPr>
        <w:t>Στις διαπραγματεύσεις αυτές</w:t>
      </w:r>
      <w:r w:rsidR="009A59C4">
        <w:rPr>
          <w:rFonts w:ascii="Bookman Old Style" w:hAnsi="Bookman Old Style"/>
          <w:sz w:val="20"/>
          <w:szCs w:val="20"/>
        </w:rPr>
        <w:t xml:space="preserve"> η</w:t>
      </w:r>
      <w:r w:rsidR="00C60676">
        <w:rPr>
          <w:rFonts w:ascii="Bookman Old Style" w:hAnsi="Bookman Old Style"/>
          <w:sz w:val="20"/>
          <w:szCs w:val="20"/>
        </w:rPr>
        <w:t xml:space="preserve"> ελληνική</w:t>
      </w:r>
      <w:r w:rsidR="009A59C4">
        <w:rPr>
          <w:rFonts w:ascii="Bookman Old Style" w:hAnsi="Bookman Old Style"/>
          <w:sz w:val="20"/>
          <w:szCs w:val="20"/>
        </w:rPr>
        <w:t xml:space="preserve"> κυβέρνηση θα επιδιώξει κατά κύριο λόγο τ</w:t>
      </w:r>
      <w:r w:rsidR="00265D17">
        <w:rPr>
          <w:rFonts w:ascii="Bookman Old Style" w:hAnsi="Bookman Old Style"/>
          <w:sz w:val="20"/>
          <w:szCs w:val="20"/>
        </w:rPr>
        <w:t>η</w:t>
      </w:r>
      <w:r w:rsidR="009A59C4">
        <w:rPr>
          <w:rFonts w:ascii="Bookman Old Style" w:hAnsi="Bookman Old Style"/>
          <w:sz w:val="20"/>
          <w:szCs w:val="20"/>
        </w:rPr>
        <w:t>ν</w:t>
      </w:r>
      <w:r w:rsidR="00265D17">
        <w:rPr>
          <w:rFonts w:ascii="Bookman Old Style" w:hAnsi="Bookman Old Style"/>
          <w:sz w:val="20"/>
          <w:szCs w:val="20"/>
        </w:rPr>
        <w:t xml:space="preserve"> επαναφορά των συλλογικών συμβάσεων </w:t>
      </w:r>
      <w:r w:rsidR="00B276E4">
        <w:rPr>
          <w:rFonts w:ascii="Bookman Old Style" w:hAnsi="Bookman Old Style"/>
          <w:sz w:val="20"/>
          <w:szCs w:val="20"/>
        </w:rPr>
        <w:t>σύμφωνα με το Ευρωπαϊκό κοινωνικό μοντέλο</w:t>
      </w:r>
      <w:r w:rsidR="00D805E7">
        <w:rPr>
          <w:rFonts w:ascii="Bookman Old Style" w:hAnsi="Bookman Old Style"/>
          <w:sz w:val="20"/>
          <w:szCs w:val="20"/>
        </w:rPr>
        <w:t xml:space="preserve"> ενώ </w:t>
      </w:r>
      <w:r w:rsidR="00B276E4">
        <w:rPr>
          <w:rFonts w:ascii="Bookman Old Style" w:hAnsi="Bookman Old Style"/>
          <w:sz w:val="20"/>
          <w:szCs w:val="20"/>
        </w:rPr>
        <w:t xml:space="preserve">το ΔΝΤ </w:t>
      </w:r>
      <w:r w:rsidR="009A59C4">
        <w:rPr>
          <w:rFonts w:ascii="Bookman Old Style" w:hAnsi="Bookman Old Style"/>
          <w:sz w:val="20"/>
          <w:szCs w:val="20"/>
        </w:rPr>
        <w:t xml:space="preserve">αναμένεται να </w:t>
      </w:r>
      <w:r w:rsidR="00115708">
        <w:rPr>
          <w:rFonts w:ascii="Bookman Old Style" w:hAnsi="Bookman Old Style"/>
          <w:sz w:val="20"/>
          <w:szCs w:val="20"/>
        </w:rPr>
        <w:t>υποστηρί</w:t>
      </w:r>
      <w:r w:rsidR="009A59C4">
        <w:rPr>
          <w:rFonts w:ascii="Bookman Old Style" w:hAnsi="Bookman Old Style"/>
          <w:sz w:val="20"/>
          <w:szCs w:val="20"/>
        </w:rPr>
        <w:t>ξ</w:t>
      </w:r>
      <w:r w:rsidR="00115708">
        <w:rPr>
          <w:rFonts w:ascii="Bookman Old Style" w:hAnsi="Bookman Old Style"/>
          <w:sz w:val="20"/>
          <w:szCs w:val="20"/>
        </w:rPr>
        <w:t>ει την ανάγκη μεγαλύτερης ευελιξίας</w:t>
      </w:r>
      <w:r w:rsidR="00B276E4">
        <w:rPr>
          <w:rFonts w:ascii="Bookman Old Style" w:hAnsi="Bookman Old Style"/>
          <w:sz w:val="20"/>
          <w:szCs w:val="20"/>
        </w:rPr>
        <w:t xml:space="preserve"> </w:t>
      </w:r>
      <w:r w:rsidR="00115708">
        <w:rPr>
          <w:rFonts w:ascii="Bookman Old Style" w:hAnsi="Bookman Old Style"/>
          <w:sz w:val="20"/>
          <w:szCs w:val="20"/>
        </w:rPr>
        <w:t xml:space="preserve">και </w:t>
      </w:r>
      <w:r w:rsidR="00B276E4">
        <w:rPr>
          <w:rFonts w:ascii="Bookman Old Style" w:hAnsi="Bookman Old Style"/>
          <w:sz w:val="20"/>
          <w:szCs w:val="20"/>
        </w:rPr>
        <w:t>εναρμόνιση</w:t>
      </w:r>
      <w:r w:rsidR="00D805E7">
        <w:rPr>
          <w:rFonts w:ascii="Bookman Old Style" w:hAnsi="Bookman Old Style"/>
          <w:sz w:val="20"/>
          <w:szCs w:val="20"/>
        </w:rPr>
        <w:t>ς</w:t>
      </w:r>
      <w:r w:rsidR="00B276E4">
        <w:rPr>
          <w:rFonts w:ascii="Bookman Old Style" w:hAnsi="Bookman Old Style"/>
          <w:sz w:val="20"/>
          <w:szCs w:val="20"/>
        </w:rPr>
        <w:t xml:space="preserve"> του πλαισίου που διέπει τις εργασιακές σχέσεις με τις βέλτιστες διεθνείς πρακτικές</w:t>
      </w:r>
      <w:r w:rsidR="00115708">
        <w:rPr>
          <w:rFonts w:ascii="Bookman Old Style" w:hAnsi="Bookman Old Style"/>
          <w:sz w:val="20"/>
          <w:szCs w:val="20"/>
        </w:rPr>
        <w:t>. Δεδομένων των εκ διαμέτρου αντίθετων θέσεων που διατυπώνονται ε</w:t>
      </w:r>
      <w:r w:rsidR="009A59C4">
        <w:rPr>
          <w:rFonts w:ascii="Bookman Old Style" w:hAnsi="Bookman Old Style"/>
          <w:sz w:val="20"/>
          <w:szCs w:val="20"/>
        </w:rPr>
        <w:t>νόψει των διαπραγματεύσεων, το π</w:t>
      </w:r>
      <w:r w:rsidR="00115708">
        <w:rPr>
          <w:rFonts w:ascii="Bookman Old Style" w:hAnsi="Bookman Old Style"/>
          <w:sz w:val="20"/>
          <w:szCs w:val="20"/>
        </w:rPr>
        <w:t xml:space="preserve">όρισμα της Επιτροπής </w:t>
      </w:r>
      <w:r w:rsidR="009A59C4">
        <w:rPr>
          <w:rFonts w:ascii="Bookman Old Style" w:hAnsi="Bookman Old Style"/>
          <w:sz w:val="20"/>
          <w:szCs w:val="20"/>
        </w:rPr>
        <w:t>Σ</w:t>
      </w:r>
      <w:r w:rsidR="00115708">
        <w:rPr>
          <w:rFonts w:ascii="Bookman Old Style" w:hAnsi="Bookman Old Style"/>
          <w:sz w:val="20"/>
          <w:szCs w:val="20"/>
        </w:rPr>
        <w:t xml:space="preserve">οφών μπορεί από τη μία μεριά να περιορίσει μερικώς την ελευθερία κινήσεων της ελληνικής πλευράς, αλλά από την άλλη πλευρά μπορεί να λειτουργήσει ως ασπίδα προστασίας έναντι ιδιαιτέρως ακραίων διεκδικήσεων από τους θεσμούς. </w:t>
      </w:r>
      <w:r w:rsidR="00C46640">
        <w:rPr>
          <w:rFonts w:ascii="Bookman Old Style" w:hAnsi="Bookman Old Style"/>
          <w:sz w:val="20"/>
          <w:szCs w:val="20"/>
        </w:rPr>
        <w:t xml:space="preserve">  </w:t>
      </w:r>
    </w:p>
    <w:p w:rsidR="007147EC" w:rsidRDefault="007147EC" w:rsidP="008119A4">
      <w:pPr>
        <w:spacing w:before="200" w:after="200" w:line="240" w:lineRule="atLeast"/>
        <w:jc w:val="both"/>
        <w:rPr>
          <w:rFonts w:ascii="Bookman Old Style" w:hAnsi="Bookman Old Style"/>
          <w:sz w:val="20"/>
          <w:szCs w:val="20"/>
        </w:rPr>
      </w:pPr>
      <w:r>
        <w:rPr>
          <w:rFonts w:ascii="Bookman Old Style" w:hAnsi="Bookman Old Style"/>
          <w:sz w:val="20"/>
          <w:szCs w:val="20"/>
        </w:rPr>
        <w:t>Οι συστάσεις της Επιτροπής Σοφών στηρίζονται στα εξής: το Ευρωπαϊκό Κοινωνικό Μοντέλο και τους κανόνες της Διεθνούς Οργάνωσης Εργασίας (</w:t>
      </w:r>
      <w:r>
        <w:rPr>
          <w:rFonts w:ascii="Bookman Old Style" w:hAnsi="Bookman Old Style"/>
          <w:sz w:val="20"/>
          <w:szCs w:val="20"/>
          <w:lang w:val="en-US"/>
        </w:rPr>
        <w:t>ILO</w:t>
      </w:r>
      <w:r w:rsidRPr="007147EC">
        <w:rPr>
          <w:rFonts w:ascii="Bookman Old Style" w:hAnsi="Bookman Old Style"/>
          <w:sz w:val="20"/>
          <w:szCs w:val="20"/>
        </w:rPr>
        <w:t>)</w:t>
      </w:r>
      <w:r>
        <w:rPr>
          <w:rFonts w:ascii="Bookman Old Style" w:hAnsi="Bookman Old Style"/>
          <w:sz w:val="20"/>
          <w:szCs w:val="20"/>
        </w:rPr>
        <w:t>, την αρχή της επικουρικότητας της Συνθήκης για την Ευρωπαϊκή Ένωση</w:t>
      </w:r>
      <w:r w:rsidR="00D00DCF">
        <w:rPr>
          <w:rFonts w:ascii="Bookman Old Style" w:hAnsi="Bookman Old Style"/>
          <w:sz w:val="20"/>
          <w:szCs w:val="20"/>
        </w:rPr>
        <w:t xml:space="preserve">, την ισορροπία ισχύος μεταξύ των κοινωνικών εταίρων, την ανάπτυξη, το μη αποκλεισμό από την αγορά εργασίας, την αρχή της ίσης αμοιβής, την αξιοπιστία, την εξειδίκευση και την ολοκληρωμένη προσέγγιση. </w:t>
      </w:r>
      <w:r w:rsidR="003F284D">
        <w:rPr>
          <w:rFonts w:ascii="Bookman Old Style" w:hAnsi="Bookman Old Style"/>
          <w:sz w:val="20"/>
          <w:szCs w:val="20"/>
        </w:rPr>
        <w:t xml:space="preserve">Σε οκτώ από τις </w:t>
      </w:r>
      <w:r w:rsidR="00ED18BF">
        <w:rPr>
          <w:rFonts w:ascii="Bookman Old Style" w:hAnsi="Bookman Old Style"/>
          <w:sz w:val="20"/>
          <w:szCs w:val="20"/>
        </w:rPr>
        <w:t>δώδεκα</w:t>
      </w:r>
      <w:r w:rsidR="003F284D">
        <w:rPr>
          <w:rFonts w:ascii="Bookman Old Style" w:hAnsi="Bookman Old Style"/>
          <w:sz w:val="20"/>
          <w:szCs w:val="20"/>
        </w:rPr>
        <w:t xml:space="preserve"> συστάσεις του πορίσματος υπάρχει </w:t>
      </w:r>
      <w:r w:rsidR="00ED18BF">
        <w:rPr>
          <w:rFonts w:ascii="Bookman Old Style" w:hAnsi="Bookman Old Style"/>
          <w:sz w:val="20"/>
          <w:szCs w:val="20"/>
        </w:rPr>
        <w:lastRenderedPageBreak/>
        <w:t>ομοφωνία</w:t>
      </w:r>
      <w:r w:rsidR="003F284D">
        <w:rPr>
          <w:rFonts w:ascii="Bookman Old Style" w:hAnsi="Bookman Old Style"/>
          <w:sz w:val="20"/>
          <w:szCs w:val="20"/>
        </w:rPr>
        <w:t xml:space="preserve"> μεταξύ των εμπειρογνωμόνων ενώ οι απόψεις της μειοψηφίας παρουσιάζονται στο τέλος της έκθεσης. Όσον αφορά τη φιλοσοφία του πορίσματος μπορεί να ειπωθεί ότι </w:t>
      </w:r>
      <w:r w:rsidR="00720B68">
        <w:rPr>
          <w:rFonts w:ascii="Bookman Old Style" w:hAnsi="Bookman Old Style"/>
          <w:sz w:val="20"/>
          <w:szCs w:val="20"/>
        </w:rPr>
        <w:t>κινείται σε διαφορετική</w:t>
      </w:r>
      <w:r w:rsidR="003F284D">
        <w:rPr>
          <w:rFonts w:ascii="Bookman Old Style" w:hAnsi="Bookman Old Style"/>
          <w:sz w:val="20"/>
          <w:szCs w:val="20"/>
        </w:rPr>
        <w:t xml:space="preserve"> κατεύθυνση από τις έως τώρα πραγματοποιηθείσες μεταρρυθμίσεις. Αναγνωρίζει ότι ο στόχος της </w:t>
      </w:r>
      <w:r w:rsidR="003F284D" w:rsidRPr="003F284D">
        <w:rPr>
          <w:rFonts w:ascii="Bookman Old Style" w:hAnsi="Bookman Old Style"/>
          <w:sz w:val="20"/>
          <w:szCs w:val="20"/>
        </w:rPr>
        <w:t xml:space="preserve">εσωτερικής υποτίμησης εντός της Ευρωζώνης μέσω της άμεσης μείωσης του μισθολογικού κόστους επετεύχθη, </w:t>
      </w:r>
      <w:r w:rsidR="00E73395">
        <w:rPr>
          <w:rFonts w:ascii="Bookman Old Style" w:hAnsi="Bookman Old Style"/>
          <w:sz w:val="20"/>
          <w:szCs w:val="20"/>
        </w:rPr>
        <w:t xml:space="preserve">αλλά </w:t>
      </w:r>
      <w:r w:rsidR="003F284D" w:rsidRPr="003F284D">
        <w:rPr>
          <w:rFonts w:ascii="Bookman Old Style" w:hAnsi="Bookman Old Style"/>
          <w:sz w:val="20"/>
          <w:szCs w:val="20"/>
        </w:rPr>
        <w:t xml:space="preserve">επισημαίνει ότι αυτό </w:t>
      </w:r>
      <w:r w:rsidR="00E73395">
        <w:rPr>
          <w:rFonts w:ascii="Bookman Old Style" w:hAnsi="Bookman Old Style"/>
          <w:sz w:val="20"/>
          <w:szCs w:val="20"/>
        </w:rPr>
        <w:t>προκάλεσε</w:t>
      </w:r>
      <w:r w:rsidR="003F284D" w:rsidRPr="003F284D">
        <w:rPr>
          <w:rFonts w:ascii="Bookman Old Style" w:hAnsi="Bookman Old Style"/>
          <w:sz w:val="20"/>
          <w:szCs w:val="20"/>
        </w:rPr>
        <w:t xml:space="preserve"> σημαντικές παρενέργειες ως προς την αγοραστική δύναμη, την ανισότητα και τη φτώχεια.</w:t>
      </w:r>
      <w:r w:rsidR="00E73395">
        <w:rPr>
          <w:rFonts w:ascii="Bookman Old Style" w:hAnsi="Bookman Old Style"/>
          <w:sz w:val="20"/>
          <w:szCs w:val="20"/>
        </w:rPr>
        <w:t xml:space="preserve"> Παρότι δε συνιστάται η επιστροφή στο παλαιότερο </w:t>
      </w:r>
      <w:r w:rsidR="00ED18BF">
        <w:rPr>
          <w:rFonts w:ascii="Bookman Old Style" w:hAnsi="Bookman Old Style"/>
          <w:sz w:val="20"/>
          <w:szCs w:val="20"/>
        </w:rPr>
        <w:t xml:space="preserve">καθεστώς </w:t>
      </w:r>
      <w:r w:rsidR="00E73395">
        <w:rPr>
          <w:rFonts w:ascii="Bookman Old Style" w:hAnsi="Bookman Old Style"/>
          <w:sz w:val="20"/>
          <w:szCs w:val="20"/>
        </w:rPr>
        <w:t xml:space="preserve">– ειδικά όσον αφορά τα επίπεδα μισθών – προκρίνεται η αναγκαιότητα επιπρόσθετων μέτρων που θα εκσυγχρονίσουν την ελληνική αγορά εργασίας σύμφωνα με τις βέλτιστες πρακτικές στην Ευρώπη. </w:t>
      </w:r>
      <w:r w:rsidR="00BB1758">
        <w:rPr>
          <w:rFonts w:ascii="Bookman Old Style" w:hAnsi="Bookman Old Style"/>
          <w:sz w:val="20"/>
          <w:szCs w:val="20"/>
        </w:rPr>
        <w:t xml:space="preserve">Ως προς τα επιμέρους θέματα που πραγματεύεται </w:t>
      </w:r>
      <w:r w:rsidR="00DE406A">
        <w:rPr>
          <w:rFonts w:ascii="Bookman Old Style" w:hAnsi="Bookman Old Style"/>
          <w:sz w:val="20"/>
          <w:szCs w:val="20"/>
        </w:rPr>
        <w:t>το πόρισμα</w:t>
      </w:r>
      <w:r w:rsidR="00BB1758">
        <w:rPr>
          <w:rFonts w:ascii="Bookman Old Style" w:hAnsi="Bookman Old Style"/>
          <w:sz w:val="20"/>
          <w:szCs w:val="20"/>
        </w:rPr>
        <w:t xml:space="preserve"> της Επιτροπής Σοφών, συνοψίζουμε τα εξής:</w:t>
      </w:r>
      <w:r w:rsidR="0005744A">
        <w:rPr>
          <w:rFonts w:ascii="Bookman Old Style" w:hAnsi="Bookman Old Style"/>
          <w:sz w:val="20"/>
          <w:szCs w:val="20"/>
        </w:rPr>
        <w:t xml:space="preserve"> </w:t>
      </w:r>
    </w:p>
    <w:p w:rsidR="0005744A" w:rsidRDefault="0005744A" w:rsidP="00DE406A">
      <w:pPr>
        <w:pStyle w:val="ListParagraph"/>
        <w:numPr>
          <w:ilvl w:val="0"/>
          <w:numId w:val="16"/>
        </w:numPr>
        <w:spacing w:before="200" w:after="200" w:line="240" w:lineRule="atLeast"/>
        <w:jc w:val="both"/>
        <w:rPr>
          <w:rFonts w:ascii="Bookman Old Style" w:hAnsi="Bookman Old Style"/>
          <w:sz w:val="20"/>
          <w:szCs w:val="20"/>
        </w:rPr>
      </w:pPr>
      <w:r w:rsidRPr="00DE406A">
        <w:rPr>
          <w:rFonts w:ascii="Bookman Old Style" w:hAnsi="Bookman Old Style"/>
          <w:sz w:val="20"/>
          <w:szCs w:val="20"/>
        </w:rPr>
        <w:t>Η Επιτροπή Σοφών δεν θεωρεί αναγκαία την υιοθέτηση αυστηρότερων κανόνων σε σχέση με τις απεργίες ούτε προτείνει να επιτραπεί η ανταπεργία με το σκεπτικό ότι το</w:t>
      </w:r>
      <w:r w:rsidR="00DE406A" w:rsidRPr="00DE406A">
        <w:rPr>
          <w:rFonts w:ascii="Bookman Old Style" w:hAnsi="Bookman Old Style"/>
          <w:sz w:val="20"/>
          <w:szCs w:val="20"/>
        </w:rPr>
        <w:t xml:space="preserve"> υπάρχον</w:t>
      </w:r>
      <w:r w:rsidRPr="00DE406A">
        <w:rPr>
          <w:rFonts w:ascii="Bookman Old Style" w:hAnsi="Bookman Old Style"/>
          <w:sz w:val="20"/>
          <w:szCs w:val="20"/>
        </w:rPr>
        <w:t xml:space="preserve"> πλαίσιο που διέπει τη συνδικαλιστική δράση εγγυάται την ισορροπία δυνάμεων μεταξύ εργαζομένων και εργοδοτών. </w:t>
      </w:r>
      <w:r w:rsidR="00DE406A" w:rsidRPr="00DE406A">
        <w:rPr>
          <w:rFonts w:ascii="Bookman Old Style" w:hAnsi="Bookman Old Style"/>
          <w:sz w:val="20"/>
          <w:szCs w:val="20"/>
        </w:rPr>
        <w:t xml:space="preserve">Αναγνωρίζει ωστόσο την πιθανή ανάγκη εκσυγχρονισμού του Νόμου 1264/1982 ώστε να αντιμετωπιστούν προβλήματα </w:t>
      </w:r>
      <w:r w:rsidR="00364F34">
        <w:rPr>
          <w:rFonts w:ascii="Bookman Old Style" w:hAnsi="Bookman Old Style"/>
          <w:sz w:val="20"/>
          <w:szCs w:val="20"/>
        </w:rPr>
        <w:t xml:space="preserve">που ανακύπτουν </w:t>
      </w:r>
      <w:r w:rsidR="00DE406A" w:rsidRPr="00DE406A">
        <w:rPr>
          <w:rFonts w:ascii="Bookman Old Style" w:hAnsi="Bookman Old Style"/>
          <w:sz w:val="20"/>
          <w:szCs w:val="20"/>
        </w:rPr>
        <w:t>στην εφαρμογή του θεσμικού πλαισίου.</w:t>
      </w:r>
    </w:p>
    <w:p w:rsidR="00FF75BA" w:rsidRDefault="004579E1" w:rsidP="00DE406A">
      <w:pPr>
        <w:pStyle w:val="ListParagraph"/>
        <w:numPr>
          <w:ilvl w:val="0"/>
          <w:numId w:val="16"/>
        </w:numPr>
        <w:spacing w:before="200" w:after="200" w:line="240" w:lineRule="atLeast"/>
        <w:jc w:val="both"/>
        <w:rPr>
          <w:rFonts w:ascii="Bookman Old Style" w:hAnsi="Bookman Old Style"/>
          <w:sz w:val="20"/>
          <w:szCs w:val="20"/>
        </w:rPr>
      </w:pPr>
      <w:r>
        <w:rPr>
          <w:rFonts w:ascii="Bookman Old Style" w:hAnsi="Bookman Old Style"/>
          <w:sz w:val="20"/>
          <w:szCs w:val="20"/>
        </w:rPr>
        <w:t xml:space="preserve">Όσον αφορά το θέμα των ομαδικών απολύσεων, η Επιτροπή Σοφών επιφυλάσσεται να διατυπώσει σύσταση καθώς το θέμα αυτό συζητείται στο Ευρωπαϊκό Δικαστήριο </w:t>
      </w:r>
      <w:r w:rsidR="00364F34">
        <w:rPr>
          <w:rFonts w:ascii="Bookman Old Style" w:hAnsi="Bookman Old Style"/>
          <w:sz w:val="20"/>
          <w:szCs w:val="20"/>
        </w:rPr>
        <w:t>το οποίο</w:t>
      </w:r>
      <w:r>
        <w:rPr>
          <w:rFonts w:ascii="Bookman Old Style" w:hAnsi="Bookman Old Style"/>
          <w:sz w:val="20"/>
          <w:szCs w:val="20"/>
        </w:rPr>
        <w:t xml:space="preserve"> δεν έχει ακόμα αποφανθεί. </w:t>
      </w:r>
      <w:r w:rsidR="00FF75BA">
        <w:rPr>
          <w:rFonts w:ascii="Bookman Old Style" w:hAnsi="Bookman Old Style"/>
          <w:sz w:val="20"/>
          <w:szCs w:val="20"/>
        </w:rPr>
        <w:t>Εκφράζεται ωστόσο η άποψη από δύο μέλη της Επιτροπής ότι το υπάρχον πλαίσιο δεν είναι ικανοποιητικό καθώς είναι υπερβολικά περιοριστικό.</w:t>
      </w:r>
    </w:p>
    <w:p w:rsidR="00DE406A" w:rsidRDefault="00FF75BA" w:rsidP="00DE406A">
      <w:pPr>
        <w:pStyle w:val="ListParagraph"/>
        <w:numPr>
          <w:ilvl w:val="0"/>
          <w:numId w:val="16"/>
        </w:numPr>
        <w:spacing w:before="200" w:after="200" w:line="240" w:lineRule="atLeast"/>
        <w:jc w:val="both"/>
        <w:rPr>
          <w:rFonts w:ascii="Bookman Old Style" w:hAnsi="Bookman Old Style"/>
          <w:sz w:val="20"/>
          <w:szCs w:val="20"/>
        </w:rPr>
      </w:pPr>
      <w:r>
        <w:rPr>
          <w:rFonts w:ascii="Bookman Old Style" w:hAnsi="Bookman Old Style"/>
          <w:sz w:val="20"/>
          <w:szCs w:val="20"/>
        </w:rPr>
        <w:t>Στο θέμα του κατώτατου μισθού η πλειοψηφία των μελών της Επιτροπής Σοφών προτείνει την επαναφορά του καθορισμού του</w:t>
      </w:r>
      <w:r w:rsidR="00364F34">
        <w:rPr>
          <w:rFonts w:ascii="Bookman Old Style" w:hAnsi="Bookman Old Style"/>
          <w:sz w:val="20"/>
          <w:szCs w:val="20"/>
        </w:rPr>
        <w:t xml:space="preserve"> μέσα</w:t>
      </w:r>
      <w:r>
        <w:rPr>
          <w:rFonts w:ascii="Bookman Old Style" w:hAnsi="Bookman Old Style"/>
          <w:sz w:val="20"/>
          <w:szCs w:val="20"/>
        </w:rPr>
        <w:t xml:space="preserve"> από ένα σύστημα εθνικής συλλογικής διαπραγμάτευσης με καθολική ισχύ και την αντικατάσταση του κατώτατου μισθού για τους νέους από έναν </w:t>
      </w:r>
      <w:proofErr w:type="spellStart"/>
      <w:r>
        <w:rPr>
          <w:rFonts w:ascii="Bookman Old Style" w:hAnsi="Bookman Old Style"/>
          <w:sz w:val="20"/>
          <w:szCs w:val="20"/>
        </w:rPr>
        <w:t>υπο</w:t>
      </w:r>
      <w:proofErr w:type="spellEnd"/>
      <w:r>
        <w:rPr>
          <w:rFonts w:ascii="Bookman Old Style" w:hAnsi="Bookman Old Style"/>
          <w:sz w:val="20"/>
          <w:szCs w:val="20"/>
        </w:rPr>
        <w:t>-κατώτατο μισθό βάσει εμπειρίας για μέγιστη περίοδο δύο ετών.</w:t>
      </w:r>
    </w:p>
    <w:p w:rsidR="00FF75BA" w:rsidRDefault="00FF75BA" w:rsidP="00DE406A">
      <w:pPr>
        <w:pStyle w:val="ListParagraph"/>
        <w:numPr>
          <w:ilvl w:val="0"/>
          <w:numId w:val="16"/>
        </w:numPr>
        <w:spacing w:before="200" w:after="200" w:line="240" w:lineRule="atLeast"/>
        <w:jc w:val="both"/>
        <w:rPr>
          <w:rFonts w:ascii="Bookman Old Style" w:hAnsi="Bookman Old Style"/>
          <w:sz w:val="20"/>
          <w:szCs w:val="20"/>
        </w:rPr>
      </w:pPr>
      <w:r>
        <w:rPr>
          <w:rFonts w:ascii="Bookman Old Style" w:hAnsi="Bookman Old Style"/>
          <w:sz w:val="20"/>
          <w:szCs w:val="20"/>
        </w:rPr>
        <w:t>Αναφορικά με τις συλλογικές διαπραγματεύσεις</w:t>
      </w:r>
      <w:r w:rsidR="001E1C30">
        <w:rPr>
          <w:rFonts w:ascii="Bookman Old Style" w:hAnsi="Bookman Old Style"/>
          <w:sz w:val="20"/>
          <w:szCs w:val="20"/>
        </w:rPr>
        <w:t xml:space="preserve"> </w:t>
      </w:r>
      <w:r w:rsidR="002149C8">
        <w:rPr>
          <w:rFonts w:ascii="Bookman Old Style" w:hAnsi="Bookman Old Style"/>
          <w:sz w:val="20"/>
          <w:szCs w:val="20"/>
        </w:rPr>
        <w:t xml:space="preserve">φαίνεται πως η Επιτροπή Σοφών τάσσεται υπέρ της </w:t>
      </w:r>
      <w:r w:rsidR="002149C8" w:rsidRPr="002149C8">
        <w:rPr>
          <w:rFonts w:ascii="Bookman Old Style" w:hAnsi="Bookman Old Style"/>
          <w:sz w:val="20"/>
          <w:szCs w:val="20"/>
        </w:rPr>
        <w:t>επέκτασης</w:t>
      </w:r>
      <w:r w:rsidR="00793298" w:rsidRPr="00793298">
        <w:rPr>
          <w:rFonts w:ascii="Bookman Old Style" w:hAnsi="Bookman Old Style"/>
          <w:sz w:val="20"/>
          <w:szCs w:val="20"/>
        </w:rPr>
        <w:t xml:space="preserve"> </w:t>
      </w:r>
      <w:r w:rsidR="00793298">
        <w:rPr>
          <w:rFonts w:ascii="Bookman Old Style" w:hAnsi="Bookman Old Style"/>
          <w:sz w:val="20"/>
          <w:szCs w:val="20"/>
        </w:rPr>
        <w:t>των</w:t>
      </w:r>
      <w:r w:rsidR="002149C8" w:rsidRPr="002149C8">
        <w:rPr>
          <w:rFonts w:ascii="Bookman Old Style" w:hAnsi="Bookman Old Style"/>
          <w:sz w:val="20"/>
          <w:szCs w:val="20"/>
        </w:rPr>
        <w:t xml:space="preserve"> αντιπροσωπευτικών συλλογικών συμβάσεων </w:t>
      </w:r>
      <w:r w:rsidR="00364F34" w:rsidRPr="002149C8">
        <w:rPr>
          <w:rFonts w:ascii="Bookman Old Style" w:hAnsi="Bookman Old Style"/>
          <w:sz w:val="20"/>
          <w:szCs w:val="20"/>
        </w:rPr>
        <w:t xml:space="preserve">σε </w:t>
      </w:r>
      <w:r w:rsidR="00364F34">
        <w:rPr>
          <w:rFonts w:ascii="Bookman Old Style" w:hAnsi="Bookman Old Style"/>
          <w:sz w:val="20"/>
          <w:szCs w:val="20"/>
        </w:rPr>
        <w:t>κλαδικό</w:t>
      </w:r>
      <w:r w:rsidR="00364F34" w:rsidRPr="002149C8">
        <w:rPr>
          <w:rFonts w:ascii="Bookman Old Style" w:hAnsi="Bookman Old Style"/>
          <w:sz w:val="20"/>
          <w:szCs w:val="20"/>
        </w:rPr>
        <w:t xml:space="preserve"> ή </w:t>
      </w:r>
      <w:r w:rsidR="00364F34">
        <w:rPr>
          <w:rFonts w:ascii="Bookman Old Style" w:hAnsi="Bookman Old Style"/>
          <w:sz w:val="20"/>
          <w:szCs w:val="20"/>
        </w:rPr>
        <w:t>ομοιοεπαγγελματικό</w:t>
      </w:r>
      <w:r w:rsidR="00364F34" w:rsidRPr="002149C8">
        <w:rPr>
          <w:rFonts w:ascii="Bookman Old Style" w:hAnsi="Bookman Old Style"/>
          <w:sz w:val="20"/>
          <w:szCs w:val="20"/>
        </w:rPr>
        <w:t xml:space="preserve"> επίπεδο</w:t>
      </w:r>
      <w:r w:rsidR="00364F34">
        <w:rPr>
          <w:rFonts w:ascii="Bookman Old Style" w:hAnsi="Bookman Old Style"/>
          <w:sz w:val="20"/>
          <w:szCs w:val="20"/>
        </w:rPr>
        <w:t xml:space="preserve"> </w:t>
      </w:r>
      <w:r w:rsidR="002149C8">
        <w:rPr>
          <w:rFonts w:ascii="Bookman Old Style" w:hAnsi="Bookman Old Style"/>
          <w:sz w:val="20"/>
          <w:szCs w:val="20"/>
        </w:rPr>
        <w:t>κατόπιν αιτήματος</w:t>
      </w:r>
      <w:r w:rsidR="002149C8" w:rsidRPr="002149C8">
        <w:rPr>
          <w:rFonts w:ascii="Bookman Old Style" w:hAnsi="Bookman Old Style"/>
          <w:sz w:val="20"/>
          <w:szCs w:val="20"/>
        </w:rPr>
        <w:t xml:space="preserve"> ενός </w:t>
      </w:r>
      <w:r w:rsidR="002149C8">
        <w:rPr>
          <w:rFonts w:ascii="Bookman Old Style" w:hAnsi="Bookman Old Style"/>
          <w:sz w:val="20"/>
          <w:szCs w:val="20"/>
        </w:rPr>
        <w:t>εκ των</w:t>
      </w:r>
      <w:r w:rsidR="00364F34">
        <w:rPr>
          <w:rFonts w:ascii="Bookman Old Style" w:hAnsi="Bookman Old Style"/>
          <w:sz w:val="20"/>
          <w:szCs w:val="20"/>
        </w:rPr>
        <w:t xml:space="preserve"> δύο</w:t>
      </w:r>
      <w:r w:rsidR="002149C8">
        <w:rPr>
          <w:rFonts w:ascii="Bookman Old Style" w:hAnsi="Bookman Old Style"/>
          <w:sz w:val="20"/>
          <w:szCs w:val="20"/>
        </w:rPr>
        <w:t xml:space="preserve"> μερών</w:t>
      </w:r>
      <w:r w:rsidR="002149C8" w:rsidRPr="002149C8">
        <w:rPr>
          <w:rFonts w:ascii="Bookman Old Style" w:hAnsi="Bookman Old Style"/>
          <w:sz w:val="20"/>
          <w:szCs w:val="20"/>
        </w:rPr>
        <w:t>.</w:t>
      </w:r>
      <w:r w:rsidR="002149C8">
        <w:rPr>
          <w:rFonts w:ascii="Bookman Old Style" w:hAnsi="Bookman Old Style"/>
          <w:sz w:val="20"/>
          <w:szCs w:val="20"/>
        </w:rPr>
        <w:t xml:space="preserve"> Διαφωνία ωστόσο υπάρχει ως προς το </w:t>
      </w:r>
      <w:r w:rsidR="00075394">
        <w:rPr>
          <w:rFonts w:ascii="Bookman Old Style" w:hAnsi="Bookman Old Style"/>
          <w:sz w:val="20"/>
          <w:szCs w:val="20"/>
        </w:rPr>
        <w:t xml:space="preserve">εάν θα πρέπει να υπερισχύουν οι </w:t>
      </w:r>
      <w:r w:rsidR="00900E4F">
        <w:rPr>
          <w:rFonts w:ascii="Bookman Old Style" w:hAnsi="Bookman Old Style"/>
          <w:sz w:val="20"/>
          <w:szCs w:val="20"/>
        </w:rPr>
        <w:t xml:space="preserve">συλλογικές </w:t>
      </w:r>
      <w:r w:rsidR="00075394">
        <w:rPr>
          <w:rFonts w:ascii="Bookman Old Style" w:hAnsi="Bookman Old Style"/>
          <w:sz w:val="20"/>
          <w:szCs w:val="20"/>
        </w:rPr>
        <w:t xml:space="preserve">συμβάσεις </w:t>
      </w:r>
      <w:r w:rsidR="00900E4F">
        <w:rPr>
          <w:rFonts w:ascii="Bookman Old Style" w:hAnsi="Bookman Old Style"/>
          <w:sz w:val="20"/>
          <w:szCs w:val="20"/>
        </w:rPr>
        <w:t>με ευρύτερο πλαίσιο εφαρμογής</w:t>
      </w:r>
      <w:r w:rsidR="00075394">
        <w:rPr>
          <w:rFonts w:ascii="Bookman Old Style" w:hAnsi="Bookman Old Style"/>
          <w:sz w:val="20"/>
          <w:szCs w:val="20"/>
        </w:rPr>
        <w:t xml:space="preserve"> </w:t>
      </w:r>
      <w:r w:rsidR="00D343D2">
        <w:rPr>
          <w:rFonts w:ascii="Bookman Old Style" w:hAnsi="Bookman Old Style"/>
          <w:sz w:val="20"/>
          <w:szCs w:val="20"/>
        </w:rPr>
        <w:t xml:space="preserve">(π.χ. εθνικό ή κλαδικό) έναντι </w:t>
      </w:r>
      <w:r w:rsidR="00900E4F">
        <w:rPr>
          <w:rFonts w:ascii="Bookman Old Style" w:hAnsi="Bookman Old Style"/>
          <w:sz w:val="20"/>
          <w:szCs w:val="20"/>
        </w:rPr>
        <w:t xml:space="preserve">των συλλογικών συμβάσεων με στενότερο πλαίσιο εφαρμογής </w:t>
      </w:r>
      <w:r w:rsidR="00D343D2">
        <w:rPr>
          <w:rFonts w:ascii="Bookman Old Style" w:hAnsi="Bookman Old Style"/>
          <w:sz w:val="20"/>
          <w:szCs w:val="20"/>
        </w:rPr>
        <w:t>(π.χ. ομοιοεπαγγελματικό ή επιχειρησιακό), με δύο μέλη</w:t>
      </w:r>
      <w:r w:rsidR="00364F34">
        <w:rPr>
          <w:rFonts w:ascii="Bookman Old Style" w:hAnsi="Bookman Old Style"/>
          <w:sz w:val="20"/>
          <w:szCs w:val="20"/>
        </w:rPr>
        <w:t xml:space="preserve"> της Επιτροπής</w:t>
      </w:r>
      <w:r w:rsidR="00D343D2">
        <w:rPr>
          <w:rFonts w:ascii="Bookman Old Style" w:hAnsi="Bookman Old Style"/>
          <w:sz w:val="20"/>
          <w:szCs w:val="20"/>
        </w:rPr>
        <w:t xml:space="preserve"> να </w:t>
      </w:r>
      <w:r w:rsidR="00364F34">
        <w:rPr>
          <w:rFonts w:ascii="Bookman Old Style" w:hAnsi="Bookman Old Style"/>
          <w:sz w:val="20"/>
          <w:szCs w:val="20"/>
        </w:rPr>
        <w:t>συστήνουν</w:t>
      </w:r>
      <w:r w:rsidR="00D343D2">
        <w:rPr>
          <w:rFonts w:ascii="Bookman Old Style" w:hAnsi="Bookman Old Style"/>
          <w:sz w:val="20"/>
          <w:szCs w:val="20"/>
        </w:rPr>
        <w:t xml:space="preserve"> την υιοθέτηση της αρχής της επικουρικότητας </w:t>
      </w:r>
      <w:r w:rsidR="00900E4F">
        <w:rPr>
          <w:rFonts w:ascii="Bookman Old Style" w:hAnsi="Bookman Old Style"/>
          <w:sz w:val="20"/>
          <w:szCs w:val="20"/>
        </w:rPr>
        <w:t>υποστηρίζοντας</w:t>
      </w:r>
      <w:r w:rsidR="00D343D2">
        <w:rPr>
          <w:rFonts w:ascii="Bookman Old Style" w:hAnsi="Bookman Old Style"/>
          <w:sz w:val="20"/>
          <w:szCs w:val="20"/>
        </w:rPr>
        <w:t xml:space="preserve"> ότι αυτή θα εξασφαλίσει μεγαλύτερη ευελιξία στον καθορισμό των μισθών. Το εν λόγω ζήτημα πιθανόν να αποτελέσει πεδίο έντονης αντιπαράθεσης μεταξύ της ελληνικής πλευράς και των θεσμών στο πλαίσιο της επερχόμενης 2</w:t>
      </w:r>
      <w:r w:rsidR="00D343D2" w:rsidRPr="00D343D2">
        <w:rPr>
          <w:rFonts w:ascii="Bookman Old Style" w:hAnsi="Bookman Old Style"/>
          <w:sz w:val="20"/>
          <w:szCs w:val="20"/>
          <w:vertAlign w:val="superscript"/>
        </w:rPr>
        <w:t>η</w:t>
      </w:r>
      <w:r w:rsidR="00D343D2">
        <w:rPr>
          <w:rFonts w:ascii="Bookman Old Style" w:hAnsi="Bookman Old Style"/>
          <w:sz w:val="20"/>
          <w:szCs w:val="20"/>
        </w:rPr>
        <w:t>ς αξιολόγησης.</w:t>
      </w:r>
      <w:r w:rsidR="00D75149">
        <w:rPr>
          <w:rFonts w:ascii="Bookman Old Style" w:hAnsi="Bookman Old Style"/>
          <w:sz w:val="20"/>
          <w:szCs w:val="20"/>
        </w:rPr>
        <w:t xml:space="preserve"> </w:t>
      </w:r>
    </w:p>
    <w:p w:rsidR="00364F34" w:rsidRPr="00364F34" w:rsidRDefault="00613ACD" w:rsidP="00364F34">
      <w:pPr>
        <w:spacing w:line="260" w:lineRule="atLeast"/>
        <w:jc w:val="both"/>
        <w:rPr>
          <w:rFonts w:ascii="Bookman Old Style" w:hAnsi="Bookman Old Style"/>
          <w:sz w:val="20"/>
          <w:szCs w:val="20"/>
        </w:rPr>
      </w:pPr>
      <w:r>
        <w:rPr>
          <w:rFonts w:ascii="Bookman Old Style" w:hAnsi="Bookman Old Style"/>
          <w:sz w:val="20"/>
          <w:szCs w:val="20"/>
        </w:rPr>
        <w:t xml:space="preserve">Η κρισιμότητα των αποφάσεων για τις μεταρρυθμίσεις στην αγορά εργασίας καταδεικνύεται </w:t>
      </w:r>
      <w:r w:rsidR="00764AD4">
        <w:rPr>
          <w:rFonts w:ascii="Bookman Old Style" w:hAnsi="Bookman Old Style"/>
          <w:sz w:val="20"/>
          <w:szCs w:val="20"/>
        </w:rPr>
        <w:t xml:space="preserve">και </w:t>
      </w:r>
      <w:r>
        <w:rPr>
          <w:rFonts w:ascii="Bookman Old Style" w:hAnsi="Bookman Old Style"/>
          <w:sz w:val="20"/>
          <w:szCs w:val="20"/>
        </w:rPr>
        <w:t xml:space="preserve">από τις εξελίξεις των τελευταίων ετών. </w:t>
      </w:r>
      <w:r w:rsidR="00364F34" w:rsidRPr="00364F34">
        <w:rPr>
          <w:rFonts w:ascii="Bookman Old Style" w:hAnsi="Bookman Old Style"/>
          <w:sz w:val="20"/>
          <w:szCs w:val="20"/>
        </w:rPr>
        <w:t xml:space="preserve">Το ποσοστό ανεργίας </w:t>
      </w:r>
      <w:r w:rsidR="00FA3CD6">
        <w:rPr>
          <w:rFonts w:ascii="Bookman Old Style" w:hAnsi="Bookman Old Style"/>
          <w:sz w:val="20"/>
          <w:szCs w:val="20"/>
        </w:rPr>
        <w:t>σ</w:t>
      </w:r>
      <w:r w:rsidR="00364F34" w:rsidRPr="00364F34">
        <w:rPr>
          <w:rFonts w:ascii="Bookman Old Style" w:hAnsi="Bookman Old Style"/>
          <w:sz w:val="20"/>
          <w:szCs w:val="20"/>
        </w:rPr>
        <w:t xml:space="preserve">την Ελλάδα αυξήθηκε περισσότερο από 19 ποσοστιαίες μονάδες κατά τη διάρκεια της τρέχουσας κρίσης και παρόλη την μείωση από το </w:t>
      </w:r>
      <w:r w:rsidR="00FA3CD6">
        <w:rPr>
          <w:rFonts w:ascii="Bookman Old Style" w:hAnsi="Bookman Old Style"/>
          <w:sz w:val="20"/>
          <w:szCs w:val="20"/>
        </w:rPr>
        <w:t>μέγιστο επίπεδο</w:t>
      </w:r>
      <w:r w:rsidR="00FA3CD6" w:rsidRPr="00364F34">
        <w:rPr>
          <w:rFonts w:ascii="Bookman Old Style" w:hAnsi="Bookman Old Style"/>
          <w:sz w:val="20"/>
          <w:szCs w:val="20"/>
        </w:rPr>
        <w:t xml:space="preserve"> </w:t>
      </w:r>
      <w:r w:rsidR="00364F34" w:rsidRPr="00364F34">
        <w:rPr>
          <w:rFonts w:ascii="Bookman Old Style" w:hAnsi="Bookman Old Style"/>
          <w:sz w:val="20"/>
          <w:szCs w:val="20"/>
        </w:rPr>
        <w:t xml:space="preserve">του 27.9% το Σεπτέμβριο 2013 εξακολουθεί να παραμένει το υψηλότερο μεταξύ των χωρών της Ευρωζώνης (ήταν στο 23,2% τον Ιούλιο 2016). Η συγκεκριμένη απώλεια θέσεων εργασίας </w:t>
      </w:r>
      <w:r w:rsidR="00764AD4">
        <w:rPr>
          <w:rFonts w:ascii="Bookman Old Style" w:hAnsi="Bookman Old Style"/>
          <w:sz w:val="20"/>
          <w:szCs w:val="20"/>
        </w:rPr>
        <w:t>μπορεί</w:t>
      </w:r>
      <w:r w:rsidR="00364F34" w:rsidRPr="00364F34">
        <w:rPr>
          <w:rFonts w:ascii="Bookman Old Style" w:hAnsi="Bookman Old Style"/>
          <w:sz w:val="20"/>
          <w:szCs w:val="20"/>
        </w:rPr>
        <w:t xml:space="preserve"> να αποδοθεί, μεταξύ άλλων: α) </w:t>
      </w:r>
      <w:r w:rsidR="00764AD4">
        <w:rPr>
          <w:rFonts w:ascii="Bookman Old Style" w:hAnsi="Bookman Old Style"/>
          <w:sz w:val="20"/>
          <w:szCs w:val="20"/>
        </w:rPr>
        <w:t>σ</w:t>
      </w:r>
      <w:r w:rsidR="00364F34" w:rsidRPr="00364F34">
        <w:rPr>
          <w:rFonts w:ascii="Bookman Old Style" w:hAnsi="Bookman Old Style"/>
          <w:sz w:val="20"/>
          <w:szCs w:val="20"/>
        </w:rPr>
        <w:t>την πρωτοφανή εγχώρια ύφεση της περιόδου 2008-2015, που οδήγησε σε σωρευτική απώλεια πραγματικού ΑΕΠ πλέον των 26 ποσοστιαίων μονάδων παρά τη σύντομη επιστροφή σε θετικούς ρυθμούς ανάπτυξης το 2014 και β) στη δομική αναποτελεσματικότητα που ακόμη χαρακτηρίζει την εγχώρια αγορά αγαθών και εργασίας.</w:t>
      </w:r>
    </w:p>
    <w:p w:rsidR="00364F34" w:rsidRPr="00364F34" w:rsidRDefault="00364F34" w:rsidP="00364F34">
      <w:pPr>
        <w:spacing w:line="260" w:lineRule="atLeast"/>
        <w:jc w:val="both"/>
        <w:rPr>
          <w:rFonts w:ascii="Bookman Old Style" w:hAnsi="Bookman Old Style"/>
          <w:sz w:val="20"/>
          <w:szCs w:val="20"/>
        </w:rPr>
      </w:pPr>
    </w:p>
    <w:p w:rsidR="00613ACD" w:rsidRDefault="00764AD4" w:rsidP="00364F34">
      <w:pPr>
        <w:spacing w:line="260" w:lineRule="atLeast"/>
        <w:jc w:val="both"/>
        <w:rPr>
          <w:rFonts w:ascii="Bookman Old Style" w:hAnsi="Bookman Old Style"/>
          <w:sz w:val="20"/>
          <w:szCs w:val="20"/>
        </w:rPr>
      </w:pPr>
      <w:r>
        <w:rPr>
          <w:rFonts w:ascii="Bookman Old Style" w:hAnsi="Bookman Old Style"/>
          <w:sz w:val="20"/>
          <w:szCs w:val="20"/>
        </w:rPr>
        <w:lastRenderedPageBreak/>
        <w:t>Η</w:t>
      </w:r>
      <w:r w:rsidRPr="00364F34">
        <w:rPr>
          <w:rFonts w:ascii="Bookman Old Style" w:hAnsi="Bookman Old Style"/>
          <w:sz w:val="20"/>
          <w:szCs w:val="20"/>
        </w:rPr>
        <w:t xml:space="preserve"> </w:t>
      </w:r>
      <w:r w:rsidR="00364F34" w:rsidRPr="00364F34">
        <w:rPr>
          <w:rFonts w:ascii="Bookman Old Style" w:hAnsi="Bookman Old Style"/>
          <w:sz w:val="20"/>
          <w:szCs w:val="20"/>
        </w:rPr>
        <w:t xml:space="preserve">Ελλάδα </w:t>
      </w:r>
      <w:r>
        <w:rPr>
          <w:rFonts w:ascii="Bookman Old Style" w:hAnsi="Bookman Old Style"/>
          <w:sz w:val="20"/>
          <w:szCs w:val="20"/>
        </w:rPr>
        <w:t>άλλωστε,</w:t>
      </w:r>
      <w:r w:rsidRPr="00364F34">
        <w:rPr>
          <w:rFonts w:ascii="Bookman Old Style" w:hAnsi="Bookman Old Style"/>
          <w:sz w:val="20"/>
          <w:szCs w:val="20"/>
        </w:rPr>
        <w:t xml:space="preserve"> </w:t>
      </w:r>
      <w:r w:rsidR="00364F34" w:rsidRPr="00364F34">
        <w:rPr>
          <w:rFonts w:ascii="Bookman Old Style" w:hAnsi="Bookman Old Style"/>
          <w:sz w:val="20"/>
          <w:szCs w:val="20"/>
        </w:rPr>
        <w:t>κατατάχθηκε μόλις 114</w:t>
      </w:r>
      <w:r w:rsidR="00364F34" w:rsidRPr="00364F34">
        <w:rPr>
          <w:rFonts w:ascii="Bookman Old Style" w:hAnsi="Bookman Old Style"/>
          <w:sz w:val="20"/>
          <w:szCs w:val="20"/>
          <w:vertAlign w:val="superscript"/>
        </w:rPr>
        <w:t>η</w:t>
      </w:r>
      <w:r w:rsidR="00364F34" w:rsidRPr="00364F34">
        <w:rPr>
          <w:rFonts w:ascii="Bookman Old Style" w:hAnsi="Bookman Old Style"/>
          <w:sz w:val="20"/>
          <w:szCs w:val="20"/>
        </w:rPr>
        <w:t xml:space="preserve"> μεταξύ 138 χωρών σε ότι αφόρα την αποτελεσματικότητα της εγχώριας αγοράς εργασίας στην κατάταξη ανταγωνιστικότητας του </w:t>
      </w:r>
      <w:proofErr w:type="spellStart"/>
      <w:r w:rsidR="00364F34" w:rsidRPr="00364F34">
        <w:rPr>
          <w:rFonts w:ascii="Bookman Old Style" w:hAnsi="Bookman Old Style"/>
          <w:sz w:val="20"/>
          <w:szCs w:val="20"/>
        </w:rPr>
        <w:t>World</w:t>
      </w:r>
      <w:proofErr w:type="spellEnd"/>
      <w:r w:rsidR="00364F34" w:rsidRPr="00364F34">
        <w:rPr>
          <w:rFonts w:ascii="Bookman Old Style" w:hAnsi="Bookman Old Style"/>
          <w:sz w:val="20"/>
          <w:szCs w:val="20"/>
        </w:rPr>
        <w:t xml:space="preserve"> </w:t>
      </w:r>
      <w:proofErr w:type="spellStart"/>
      <w:r w:rsidR="00364F34" w:rsidRPr="00364F34">
        <w:rPr>
          <w:rFonts w:ascii="Bookman Old Style" w:hAnsi="Bookman Old Style"/>
          <w:sz w:val="20"/>
          <w:szCs w:val="20"/>
        </w:rPr>
        <w:t>Economic</w:t>
      </w:r>
      <w:proofErr w:type="spellEnd"/>
      <w:r w:rsidR="00364F34" w:rsidRPr="00364F34">
        <w:rPr>
          <w:rFonts w:ascii="Bookman Old Style" w:hAnsi="Bookman Old Style"/>
          <w:sz w:val="20"/>
          <w:szCs w:val="20"/>
        </w:rPr>
        <w:t xml:space="preserve"> </w:t>
      </w:r>
      <w:proofErr w:type="spellStart"/>
      <w:r w:rsidR="00364F34" w:rsidRPr="00364F34">
        <w:rPr>
          <w:rFonts w:ascii="Bookman Old Style" w:hAnsi="Bookman Old Style"/>
          <w:sz w:val="20"/>
          <w:szCs w:val="20"/>
        </w:rPr>
        <w:t>Forum</w:t>
      </w:r>
      <w:proofErr w:type="spellEnd"/>
      <w:r w:rsidR="00364F34" w:rsidRPr="00364F34">
        <w:rPr>
          <w:rFonts w:ascii="Bookman Old Style" w:hAnsi="Bookman Old Style"/>
          <w:sz w:val="20"/>
          <w:szCs w:val="20"/>
        </w:rPr>
        <w:t xml:space="preserve"> για το 2016. Η αντίστοιχη μέση κατάταξη των χωρών της Ευρωζώνης ήταν στην 51</w:t>
      </w:r>
      <w:r w:rsidR="00364F34" w:rsidRPr="00364F34">
        <w:rPr>
          <w:rFonts w:ascii="Bookman Old Style" w:hAnsi="Bookman Old Style"/>
          <w:sz w:val="20"/>
          <w:szCs w:val="20"/>
          <w:vertAlign w:val="superscript"/>
        </w:rPr>
        <w:t>η</w:t>
      </w:r>
      <w:r w:rsidR="00364F34" w:rsidRPr="00364F34">
        <w:rPr>
          <w:rFonts w:ascii="Bookman Old Style" w:hAnsi="Bookman Old Style"/>
          <w:sz w:val="20"/>
          <w:szCs w:val="20"/>
        </w:rPr>
        <w:t xml:space="preserve"> θέση (συμπεριλαμβανομένης της Ελλάδας και της Ιταλίας (119</w:t>
      </w:r>
      <w:r w:rsidR="00364F34" w:rsidRPr="00364F34">
        <w:rPr>
          <w:rFonts w:ascii="Bookman Old Style" w:hAnsi="Bookman Old Style"/>
          <w:sz w:val="20"/>
          <w:szCs w:val="20"/>
          <w:vertAlign w:val="superscript"/>
        </w:rPr>
        <w:t>η</w:t>
      </w:r>
      <w:r w:rsidR="00364F34" w:rsidRPr="00364F34">
        <w:rPr>
          <w:rFonts w:ascii="Bookman Old Style" w:hAnsi="Bookman Old Style"/>
          <w:sz w:val="20"/>
          <w:szCs w:val="20"/>
        </w:rPr>
        <w:t xml:space="preserve"> στο συγκεκριμένο δείκτη)). </w:t>
      </w:r>
    </w:p>
    <w:p w:rsidR="00764AD4" w:rsidRPr="00364F34" w:rsidRDefault="00764AD4" w:rsidP="00364F34">
      <w:pPr>
        <w:spacing w:line="260" w:lineRule="atLeast"/>
        <w:jc w:val="both"/>
        <w:rPr>
          <w:rFonts w:ascii="Bookman Old Style" w:hAnsi="Bookman Old Style"/>
          <w:sz w:val="20"/>
          <w:szCs w:val="20"/>
        </w:rPr>
      </w:pPr>
    </w:p>
    <w:p w:rsidR="00364F34" w:rsidRPr="00364F34" w:rsidRDefault="00364F34" w:rsidP="00364F34">
      <w:pPr>
        <w:spacing w:line="260" w:lineRule="atLeast"/>
        <w:jc w:val="both"/>
        <w:rPr>
          <w:rFonts w:ascii="Bookman Old Style" w:hAnsi="Bookman Old Style"/>
          <w:sz w:val="20"/>
          <w:szCs w:val="20"/>
        </w:rPr>
      </w:pPr>
      <w:r w:rsidRPr="00364F34">
        <w:rPr>
          <w:rFonts w:ascii="Bookman Old Style" w:hAnsi="Bookman Old Style"/>
          <w:sz w:val="20"/>
          <w:szCs w:val="20"/>
        </w:rPr>
        <w:t xml:space="preserve">Οι μεταρρυθμίσεις </w:t>
      </w:r>
      <w:r w:rsidR="00764AD4">
        <w:rPr>
          <w:rFonts w:ascii="Bookman Old Style" w:hAnsi="Bookman Old Style"/>
          <w:sz w:val="20"/>
          <w:szCs w:val="20"/>
        </w:rPr>
        <w:t>του</w:t>
      </w:r>
      <w:r w:rsidR="00764AD4" w:rsidRPr="00364F34">
        <w:rPr>
          <w:rFonts w:ascii="Bookman Old Style" w:hAnsi="Bookman Old Style"/>
          <w:sz w:val="20"/>
          <w:szCs w:val="20"/>
        </w:rPr>
        <w:t xml:space="preserve"> 2012 </w:t>
      </w:r>
      <w:r w:rsidRPr="00364F34">
        <w:rPr>
          <w:rFonts w:ascii="Bookman Old Style" w:hAnsi="Bookman Old Style"/>
          <w:sz w:val="20"/>
          <w:szCs w:val="20"/>
        </w:rPr>
        <w:t xml:space="preserve">οδήγησαν στην φιλελευθεροποίηση της εγχώριας αγοράς εργασίας και </w:t>
      </w:r>
      <w:r w:rsidR="003237EB">
        <w:rPr>
          <w:rFonts w:ascii="Bookman Old Style" w:hAnsi="Bookman Old Style"/>
          <w:sz w:val="20"/>
          <w:szCs w:val="20"/>
        </w:rPr>
        <w:t xml:space="preserve">συνέβαλλαν </w:t>
      </w:r>
      <w:r w:rsidRPr="00364F34">
        <w:rPr>
          <w:rFonts w:ascii="Bookman Old Style" w:hAnsi="Bookman Old Style"/>
          <w:sz w:val="20"/>
          <w:szCs w:val="20"/>
        </w:rPr>
        <w:t>στην επιτάχυνση της διαδικασίας εσωτερικής υποτίμησης</w:t>
      </w:r>
      <w:r w:rsidR="003237EB">
        <w:rPr>
          <w:rFonts w:ascii="Bookman Old Style" w:hAnsi="Bookman Old Style"/>
          <w:sz w:val="20"/>
          <w:szCs w:val="20"/>
        </w:rPr>
        <w:t xml:space="preserve">. Σύμφωνα με την </w:t>
      </w:r>
      <w:r w:rsidR="003237EB">
        <w:rPr>
          <w:rFonts w:ascii="Bookman Old Style" w:hAnsi="Bookman Old Style"/>
          <w:sz w:val="20"/>
          <w:szCs w:val="20"/>
          <w:lang w:val="en-US"/>
        </w:rPr>
        <w:t>Eurostat</w:t>
      </w:r>
      <w:r w:rsidR="003237EB">
        <w:rPr>
          <w:rFonts w:ascii="Bookman Old Style" w:hAnsi="Bookman Old Style"/>
          <w:sz w:val="20"/>
          <w:szCs w:val="20"/>
        </w:rPr>
        <w:t xml:space="preserve"> άλλωστε</w:t>
      </w:r>
      <w:r w:rsidR="003237EB" w:rsidRPr="00FA3CD6">
        <w:rPr>
          <w:rFonts w:ascii="Bookman Old Style" w:hAnsi="Bookman Old Style"/>
          <w:sz w:val="20"/>
          <w:szCs w:val="20"/>
        </w:rPr>
        <w:t xml:space="preserve">, </w:t>
      </w:r>
      <w:r w:rsidR="003237EB">
        <w:rPr>
          <w:rFonts w:ascii="Bookman Old Style" w:hAnsi="Bookman Old Style"/>
          <w:sz w:val="20"/>
          <w:szCs w:val="20"/>
        </w:rPr>
        <w:t xml:space="preserve">η </w:t>
      </w:r>
      <w:r w:rsidR="003237EB" w:rsidRPr="00364F34">
        <w:rPr>
          <w:rFonts w:ascii="Bookman Old Style" w:hAnsi="Bookman Old Style"/>
          <w:sz w:val="20"/>
          <w:szCs w:val="20"/>
        </w:rPr>
        <w:t>πραγματική συναλλαγματική ισοτιμία σταθμισμένη ως προς το μοναδιαίο κόστος εργασίας για την Ελλάδα στο τέλος του 2015 ήταν περίπου 25,3 μονάδες χαμηλότερα σε σχέση με το μέγιστο του 2009 και περίπου 9,5 ποσοστιαίες μονάδες χαμηλότερη της αντίστοιχης τρέχουσας τιμής της Ευρωζώνης</w:t>
      </w:r>
      <w:r w:rsidR="003237EB">
        <w:rPr>
          <w:rFonts w:ascii="Bookman Old Style" w:hAnsi="Bookman Old Style"/>
          <w:sz w:val="20"/>
          <w:szCs w:val="20"/>
        </w:rPr>
        <w:t>.</w:t>
      </w:r>
      <w:r w:rsidRPr="00364F34">
        <w:rPr>
          <w:rFonts w:ascii="Bookman Old Style" w:hAnsi="Bookman Old Style"/>
          <w:sz w:val="20"/>
          <w:szCs w:val="20"/>
        </w:rPr>
        <w:t xml:space="preserve"> </w:t>
      </w:r>
      <w:r w:rsidR="003237EB">
        <w:rPr>
          <w:rFonts w:ascii="Bookman Old Style" w:hAnsi="Bookman Old Style"/>
          <w:sz w:val="20"/>
          <w:szCs w:val="20"/>
        </w:rPr>
        <w:t xml:space="preserve">Οι μεταρρυθμίσεις </w:t>
      </w:r>
      <w:r w:rsidRPr="00364F34">
        <w:rPr>
          <w:rFonts w:ascii="Bookman Old Style" w:hAnsi="Bookman Old Style"/>
          <w:sz w:val="20"/>
          <w:szCs w:val="20"/>
        </w:rPr>
        <w:t xml:space="preserve">είχαν </w:t>
      </w:r>
      <w:r w:rsidR="003237EB">
        <w:rPr>
          <w:rFonts w:ascii="Bookman Old Style" w:hAnsi="Bookman Old Style"/>
          <w:sz w:val="20"/>
          <w:szCs w:val="20"/>
        </w:rPr>
        <w:t xml:space="preserve">όμως </w:t>
      </w:r>
      <w:r w:rsidRPr="00364F34">
        <w:rPr>
          <w:rFonts w:ascii="Bookman Old Style" w:hAnsi="Bookman Old Style"/>
          <w:sz w:val="20"/>
          <w:szCs w:val="20"/>
        </w:rPr>
        <w:t xml:space="preserve">και μια σειρά από ανεπιθύμητες συνέπειες κυρίως σε ότι αφορά την αύξηση της εισοδηματικής ανισότητας και του </w:t>
      </w:r>
      <w:r w:rsidR="00764AD4">
        <w:rPr>
          <w:rFonts w:ascii="Bookman Old Style" w:hAnsi="Bookman Old Style"/>
          <w:sz w:val="20"/>
          <w:szCs w:val="20"/>
        </w:rPr>
        <w:t>κινδύνου φτώχειας</w:t>
      </w:r>
      <w:r w:rsidRPr="00364F34">
        <w:rPr>
          <w:rFonts w:ascii="Bookman Old Style" w:hAnsi="Bookman Old Style"/>
          <w:sz w:val="20"/>
          <w:szCs w:val="20"/>
        </w:rPr>
        <w:t xml:space="preserve">. Σύμφωνα με </w:t>
      </w:r>
      <w:r w:rsidR="00764AD4">
        <w:rPr>
          <w:rFonts w:ascii="Bookman Old Style" w:hAnsi="Bookman Old Style"/>
          <w:sz w:val="20"/>
          <w:szCs w:val="20"/>
        </w:rPr>
        <w:t>την</w:t>
      </w:r>
      <w:r w:rsidRPr="00364F34">
        <w:rPr>
          <w:rFonts w:ascii="Bookman Old Style" w:hAnsi="Bookman Old Style"/>
          <w:sz w:val="20"/>
          <w:szCs w:val="20"/>
        </w:rPr>
        <w:t xml:space="preserve"> </w:t>
      </w:r>
      <w:proofErr w:type="spellStart"/>
      <w:r w:rsidRPr="00364F34">
        <w:rPr>
          <w:rFonts w:ascii="Bookman Old Style" w:hAnsi="Bookman Old Style"/>
          <w:sz w:val="20"/>
          <w:szCs w:val="20"/>
        </w:rPr>
        <w:t>Eurostat</w:t>
      </w:r>
      <w:proofErr w:type="spellEnd"/>
      <w:r w:rsidRPr="00364F34">
        <w:rPr>
          <w:rFonts w:ascii="Bookman Old Style" w:hAnsi="Bookman Old Style"/>
          <w:sz w:val="20"/>
          <w:szCs w:val="20"/>
        </w:rPr>
        <w:t xml:space="preserve">, η εισοδηματική ανισότητα στην Ελλάδα ακολούθησε αυξητική πορεία μετά το 2010, επιταχύνθηκε το 2012 και από εκεί και πέρα σταθεροποιήθηκε σε επίπεδα σημαντικά υψηλότερα του μέσου όρου της Ευρωζώνης. </w:t>
      </w:r>
    </w:p>
    <w:p w:rsidR="00364F34" w:rsidRPr="00364F34" w:rsidRDefault="00364F34" w:rsidP="00364F34">
      <w:pPr>
        <w:spacing w:line="260" w:lineRule="atLeast"/>
        <w:jc w:val="both"/>
        <w:rPr>
          <w:rFonts w:ascii="Bookman Old Style" w:hAnsi="Bookman Old Style"/>
          <w:b/>
          <w:sz w:val="20"/>
          <w:szCs w:val="20"/>
        </w:rPr>
      </w:pPr>
    </w:p>
    <w:p w:rsidR="00364F34" w:rsidRPr="00364F34" w:rsidRDefault="00364F34" w:rsidP="00364F34">
      <w:pPr>
        <w:spacing w:line="260" w:lineRule="atLeast"/>
        <w:jc w:val="both"/>
        <w:rPr>
          <w:rFonts w:ascii="Bookman Old Style" w:hAnsi="Bookman Old Style"/>
          <w:sz w:val="20"/>
          <w:szCs w:val="20"/>
        </w:rPr>
      </w:pPr>
      <w:r w:rsidRPr="00364F34">
        <w:rPr>
          <w:rFonts w:ascii="Bookman Old Style" w:hAnsi="Bookman Old Style"/>
          <w:sz w:val="20"/>
          <w:szCs w:val="20"/>
        </w:rPr>
        <w:t xml:space="preserve">Σε κάθε περίπτωση, οι παραπάνω </w:t>
      </w:r>
      <w:r w:rsidR="003237EB">
        <w:rPr>
          <w:rFonts w:ascii="Bookman Old Style" w:hAnsi="Bookman Old Style"/>
          <w:sz w:val="20"/>
          <w:szCs w:val="20"/>
        </w:rPr>
        <w:t xml:space="preserve">αρνητικές </w:t>
      </w:r>
      <w:r w:rsidRPr="00364F34">
        <w:rPr>
          <w:rFonts w:ascii="Bookman Old Style" w:hAnsi="Bookman Old Style"/>
          <w:sz w:val="20"/>
          <w:szCs w:val="20"/>
        </w:rPr>
        <w:t xml:space="preserve">εξελίξεις δεν θα πρέπει να αποδοθούν μόνο στις μεταρρυθμίσεις του 2012. Η άνιση (και σε πολλές περιπτώσεις με μεγάλες καθυστερήσεις) διαδικασία εφαρμογής των διαρθρωτικών μεταρρυθμίσεων που </w:t>
      </w:r>
      <w:r w:rsidR="00764AD4">
        <w:rPr>
          <w:rFonts w:ascii="Bookman Old Style" w:hAnsi="Bookman Old Style"/>
          <w:sz w:val="20"/>
          <w:szCs w:val="20"/>
        </w:rPr>
        <w:t xml:space="preserve">όμως </w:t>
      </w:r>
      <w:r w:rsidRPr="00364F34">
        <w:rPr>
          <w:rFonts w:ascii="Bookman Old Style" w:hAnsi="Bookman Old Style"/>
          <w:sz w:val="20"/>
          <w:szCs w:val="20"/>
        </w:rPr>
        <w:t>ήταν απαραίτητες για τον εκσυγχρονισμό του δημοσίου τομέα και τη δημιουργία ενός περιβάλλον</w:t>
      </w:r>
      <w:r w:rsidR="00C962C4">
        <w:rPr>
          <w:rFonts w:ascii="Bookman Old Style" w:hAnsi="Bookman Old Style"/>
          <w:sz w:val="20"/>
          <w:szCs w:val="20"/>
        </w:rPr>
        <w:t>τος φιλικού προς τις επενδύσεις και</w:t>
      </w:r>
      <w:r w:rsidRPr="00364F34">
        <w:rPr>
          <w:rFonts w:ascii="Bookman Old Style" w:hAnsi="Bookman Old Style"/>
          <w:sz w:val="20"/>
          <w:szCs w:val="20"/>
        </w:rPr>
        <w:t xml:space="preserve"> η περιορισμένη ανάληψη της ευθύνης για την εφαρμογή του μεταρρυθμιστικού προγράμματος μπορούν </w:t>
      </w:r>
      <w:r w:rsidR="003237EB">
        <w:rPr>
          <w:rFonts w:ascii="Bookman Old Style" w:hAnsi="Bookman Old Style"/>
          <w:sz w:val="20"/>
          <w:szCs w:val="20"/>
        </w:rPr>
        <w:t>επίσης</w:t>
      </w:r>
      <w:r w:rsidRPr="00364F34">
        <w:rPr>
          <w:rFonts w:ascii="Bookman Old Style" w:hAnsi="Bookman Old Style"/>
          <w:sz w:val="20"/>
          <w:szCs w:val="20"/>
        </w:rPr>
        <w:t xml:space="preserve"> να αποτελέσουν παράγοντες που εξηγούν την παρούσα κατάσταση στην εγχώρια αγορά εργασίας. Η νέα δέσμη μέτρων ρύθμισης της αγοράς εργασίας που αναμένεται στα πλαίσια της 2</w:t>
      </w:r>
      <w:r w:rsidRPr="00364F34">
        <w:rPr>
          <w:rFonts w:ascii="Bookman Old Style" w:hAnsi="Bookman Old Style"/>
          <w:sz w:val="20"/>
          <w:szCs w:val="20"/>
          <w:vertAlign w:val="superscript"/>
        </w:rPr>
        <w:t>ης</w:t>
      </w:r>
      <w:r w:rsidRPr="00364F34">
        <w:rPr>
          <w:rFonts w:ascii="Bookman Old Style" w:hAnsi="Bookman Old Style"/>
          <w:sz w:val="20"/>
          <w:szCs w:val="20"/>
        </w:rPr>
        <w:t xml:space="preserve"> αξιολόγησης του προγράμματος θα πρέπει να καταρτιστεί </w:t>
      </w:r>
      <w:r w:rsidR="00764AD4">
        <w:rPr>
          <w:rFonts w:ascii="Bookman Old Style" w:hAnsi="Bookman Old Style"/>
          <w:sz w:val="20"/>
          <w:szCs w:val="20"/>
        </w:rPr>
        <w:t>λαμβάνοντας υπόψη τις παραπάνω</w:t>
      </w:r>
      <w:r w:rsidRPr="00364F34">
        <w:rPr>
          <w:rFonts w:ascii="Bookman Old Style" w:hAnsi="Bookman Old Style"/>
          <w:sz w:val="20"/>
          <w:szCs w:val="20"/>
        </w:rPr>
        <w:t xml:space="preserve"> εξελίξεις. Το ενδιαφέρον πλέον θα πρέπει να μετακινηθεί από τη μείωση του μισθολογικού κόστους προς τη </w:t>
      </w:r>
      <w:r w:rsidR="00764AD4">
        <w:rPr>
          <w:rFonts w:ascii="Bookman Old Style" w:hAnsi="Bookman Old Style"/>
          <w:sz w:val="20"/>
          <w:szCs w:val="20"/>
        </w:rPr>
        <w:t xml:space="preserve">βελτίωση της </w:t>
      </w:r>
      <w:r w:rsidRPr="00364F34">
        <w:rPr>
          <w:rFonts w:ascii="Bookman Old Style" w:hAnsi="Bookman Old Style"/>
          <w:sz w:val="20"/>
          <w:szCs w:val="20"/>
        </w:rPr>
        <w:t>αποτελεσματικότητας στην αγορά εργασίας</w:t>
      </w:r>
      <w:r w:rsidR="00764AD4">
        <w:rPr>
          <w:rFonts w:ascii="Bookman Old Style" w:hAnsi="Bookman Old Style"/>
          <w:sz w:val="20"/>
          <w:szCs w:val="20"/>
        </w:rPr>
        <w:t xml:space="preserve">, </w:t>
      </w:r>
      <w:r w:rsidRPr="00364F34">
        <w:rPr>
          <w:rFonts w:ascii="Bookman Old Style" w:hAnsi="Bookman Old Style"/>
          <w:sz w:val="20"/>
          <w:szCs w:val="20"/>
        </w:rPr>
        <w:t xml:space="preserve">την ενίσχυση της ανταγωνιστικότητας και της παραγωγικότητας καθώς και </w:t>
      </w:r>
      <w:r w:rsidR="00FA3CD6">
        <w:rPr>
          <w:rFonts w:ascii="Bookman Old Style" w:hAnsi="Bookman Old Style"/>
          <w:sz w:val="20"/>
          <w:szCs w:val="20"/>
        </w:rPr>
        <w:t>τη</w:t>
      </w:r>
      <w:r w:rsidR="00FA3CD6" w:rsidRPr="00364F34">
        <w:rPr>
          <w:rFonts w:ascii="Bookman Old Style" w:hAnsi="Bookman Old Style"/>
          <w:sz w:val="20"/>
          <w:szCs w:val="20"/>
        </w:rPr>
        <w:t xml:space="preserve"> </w:t>
      </w:r>
      <w:r w:rsidRPr="00364F34">
        <w:rPr>
          <w:rFonts w:ascii="Bookman Old Style" w:hAnsi="Bookman Old Style"/>
          <w:sz w:val="20"/>
          <w:szCs w:val="20"/>
        </w:rPr>
        <w:t>δημιουργία του κατάλληλου πλέγματος για την αντιμετώπιση της φτώχειας και της εισοδηματικής ανισότητας.</w:t>
      </w:r>
    </w:p>
    <w:p w:rsidR="00364F34" w:rsidRPr="00364F34" w:rsidRDefault="00364F34" w:rsidP="00364F34">
      <w:pPr>
        <w:spacing w:line="260" w:lineRule="atLeast"/>
        <w:jc w:val="both"/>
        <w:rPr>
          <w:rFonts w:ascii="Bookman Old Style" w:hAnsi="Bookman Old Style"/>
          <w:sz w:val="20"/>
          <w:szCs w:val="20"/>
        </w:rPr>
      </w:pPr>
    </w:p>
    <w:p w:rsidR="00364F34" w:rsidRDefault="00364F34" w:rsidP="00364F34"/>
    <w:p w:rsidR="00FE3F3E" w:rsidRPr="007147EC" w:rsidRDefault="00FE3F3E" w:rsidP="00364F34">
      <w:pPr>
        <w:spacing w:before="200" w:after="200" w:line="240" w:lineRule="atLeast"/>
        <w:jc w:val="both"/>
        <w:rPr>
          <w:rFonts w:ascii="Bookman Old Style" w:hAnsi="Bookman Old Style"/>
          <w:sz w:val="20"/>
          <w:szCs w:val="20"/>
        </w:rPr>
      </w:pPr>
    </w:p>
    <w:p w:rsidR="008119A4" w:rsidRPr="007147EC" w:rsidRDefault="008119A4" w:rsidP="00364F34">
      <w:pPr>
        <w:spacing w:before="200" w:after="200" w:line="240" w:lineRule="atLeast"/>
        <w:jc w:val="both"/>
        <w:rPr>
          <w:rFonts w:ascii="Bookman Old Style" w:hAnsi="Bookman Old Style"/>
          <w:sz w:val="20"/>
          <w:szCs w:val="20"/>
        </w:rPr>
      </w:pPr>
    </w:p>
    <w:sectPr w:rsidR="008119A4" w:rsidRPr="007147E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65" w:rsidRDefault="00F66665" w:rsidP="00A31ACC">
      <w:r>
        <w:separator/>
      </w:r>
    </w:p>
  </w:endnote>
  <w:endnote w:type="continuationSeparator" w:id="0">
    <w:p w:rsidR="00F66665" w:rsidRDefault="00F66665" w:rsidP="00A3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65" w:rsidRDefault="00F66665" w:rsidP="00A31ACC">
      <w:r>
        <w:separator/>
      </w:r>
    </w:p>
  </w:footnote>
  <w:footnote w:type="continuationSeparator" w:id="0">
    <w:p w:rsidR="00F66665" w:rsidRDefault="00F66665" w:rsidP="00A3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5B1A"/>
    <w:multiLevelType w:val="hybridMultilevel"/>
    <w:tmpl w:val="84AC43B8"/>
    <w:lvl w:ilvl="0" w:tplc="5B4C102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4C45F3"/>
    <w:multiLevelType w:val="hybridMultilevel"/>
    <w:tmpl w:val="95FA3146"/>
    <w:lvl w:ilvl="0" w:tplc="0408001B">
      <w:start w:val="1"/>
      <w:numFmt w:val="low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7A07AA7"/>
    <w:multiLevelType w:val="hybridMultilevel"/>
    <w:tmpl w:val="5CBC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45B12"/>
    <w:multiLevelType w:val="hybridMultilevel"/>
    <w:tmpl w:val="F29E2564"/>
    <w:lvl w:ilvl="0" w:tplc="FA5650B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F386F9E"/>
    <w:multiLevelType w:val="hybridMultilevel"/>
    <w:tmpl w:val="900233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A36783"/>
    <w:multiLevelType w:val="hybridMultilevel"/>
    <w:tmpl w:val="46DCDC94"/>
    <w:lvl w:ilvl="0" w:tplc="BFB86B08">
      <w:start w:val="1"/>
      <w:numFmt w:val="lowerRoman"/>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D97CFF"/>
    <w:multiLevelType w:val="hybridMultilevel"/>
    <w:tmpl w:val="1D3C0B84"/>
    <w:lvl w:ilvl="0" w:tplc="3424D9E8">
      <w:start w:val="1"/>
      <w:numFmt w:val="bullet"/>
      <w:lvlText w:val=""/>
      <w:lvlJc w:val="left"/>
      <w:pPr>
        <w:tabs>
          <w:tab w:val="num" w:pos="720"/>
        </w:tabs>
        <w:ind w:left="720" w:hanging="360"/>
      </w:pPr>
      <w:rPr>
        <w:rFonts w:ascii="Wingdings" w:hAnsi="Wingdings" w:hint="default"/>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9316AEB"/>
    <w:multiLevelType w:val="hybridMultilevel"/>
    <w:tmpl w:val="1F767D38"/>
    <w:lvl w:ilvl="0" w:tplc="2EE21268">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2DC52D06"/>
    <w:multiLevelType w:val="hybridMultilevel"/>
    <w:tmpl w:val="00E221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62B19"/>
    <w:multiLevelType w:val="hybridMultilevel"/>
    <w:tmpl w:val="3DCC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E41217"/>
    <w:multiLevelType w:val="hybridMultilevel"/>
    <w:tmpl w:val="4752A9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3331E6"/>
    <w:multiLevelType w:val="hybridMultilevel"/>
    <w:tmpl w:val="E19E123C"/>
    <w:lvl w:ilvl="0" w:tplc="8FCAA48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7FA3C2D"/>
    <w:multiLevelType w:val="hybridMultilevel"/>
    <w:tmpl w:val="75F0077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77246AD6"/>
    <w:multiLevelType w:val="hybridMultilevel"/>
    <w:tmpl w:val="AE08FCCC"/>
    <w:lvl w:ilvl="0" w:tplc="FCE0E8F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8C86174"/>
    <w:multiLevelType w:val="hybridMultilevel"/>
    <w:tmpl w:val="D70A55F8"/>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792F48A2"/>
    <w:multiLevelType w:val="hybridMultilevel"/>
    <w:tmpl w:val="51D6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0"/>
  </w:num>
  <w:num w:numId="6">
    <w:abstractNumId w:val="15"/>
  </w:num>
  <w:num w:numId="7">
    <w:abstractNumId w:val="9"/>
  </w:num>
  <w:num w:numId="8">
    <w:abstractNumId w:val="10"/>
  </w:num>
  <w:num w:numId="9">
    <w:abstractNumId w:val="4"/>
  </w:num>
  <w:num w:numId="10">
    <w:abstractNumId w:val="13"/>
  </w:num>
  <w:num w:numId="11">
    <w:abstractNumId w:val="3"/>
  </w:num>
  <w:num w:numId="12">
    <w:abstractNumId w:val="14"/>
  </w:num>
  <w:num w:numId="13">
    <w:abstractNumId w:val="1"/>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9F"/>
    <w:rsid w:val="00001538"/>
    <w:rsid w:val="00012ABB"/>
    <w:rsid w:val="00012EE7"/>
    <w:rsid w:val="00030C3E"/>
    <w:rsid w:val="00033389"/>
    <w:rsid w:val="000416CE"/>
    <w:rsid w:val="00044CCB"/>
    <w:rsid w:val="000507C6"/>
    <w:rsid w:val="00051923"/>
    <w:rsid w:val="00051FA5"/>
    <w:rsid w:val="00055B8F"/>
    <w:rsid w:val="0005664D"/>
    <w:rsid w:val="0005744A"/>
    <w:rsid w:val="00075394"/>
    <w:rsid w:val="00077A92"/>
    <w:rsid w:val="000830D2"/>
    <w:rsid w:val="000857FB"/>
    <w:rsid w:val="00097C18"/>
    <w:rsid w:val="00097DDF"/>
    <w:rsid w:val="000A0F3E"/>
    <w:rsid w:val="000A1F9F"/>
    <w:rsid w:val="000A20E7"/>
    <w:rsid w:val="000B12EE"/>
    <w:rsid w:val="000B2A65"/>
    <w:rsid w:val="000B2A9C"/>
    <w:rsid w:val="000C3D0A"/>
    <w:rsid w:val="000D50B1"/>
    <w:rsid w:val="000D5946"/>
    <w:rsid w:val="000D67D3"/>
    <w:rsid w:val="000F05F3"/>
    <w:rsid w:val="000F2B0C"/>
    <w:rsid w:val="001049D5"/>
    <w:rsid w:val="00107C18"/>
    <w:rsid w:val="00113463"/>
    <w:rsid w:val="001135A5"/>
    <w:rsid w:val="00113C94"/>
    <w:rsid w:val="00115708"/>
    <w:rsid w:val="00115EBE"/>
    <w:rsid w:val="00117822"/>
    <w:rsid w:val="00117B85"/>
    <w:rsid w:val="00126B7B"/>
    <w:rsid w:val="00127C13"/>
    <w:rsid w:val="00130A6C"/>
    <w:rsid w:val="001362CA"/>
    <w:rsid w:val="00136F11"/>
    <w:rsid w:val="00140518"/>
    <w:rsid w:val="00160ECD"/>
    <w:rsid w:val="001649E4"/>
    <w:rsid w:val="00164D9D"/>
    <w:rsid w:val="001651EC"/>
    <w:rsid w:val="001841FE"/>
    <w:rsid w:val="00190185"/>
    <w:rsid w:val="0019468A"/>
    <w:rsid w:val="001A4B02"/>
    <w:rsid w:val="001B35BD"/>
    <w:rsid w:val="001C1B95"/>
    <w:rsid w:val="001D2B48"/>
    <w:rsid w:val="001D4274"/>
    <w:rsid w:val="001D71F7"/>
    <w:rsid w:val="001E13D3"/>
    <w:rsid w:val="001E1C30"/>
    <w:rsid w:val="001E2420"/>
    <w:rsid w:val="001E2D1B"/>
    <w:rsid w:val="001F2C79"/>
    <w:rsid w:val="00202B58"/>
    <w:rsid w:val="00203831"/>
    <w:rsid w:val="002149C8"/>
    <w:rsid w:val="0022258A"/>
    <w:rsid w:val="00223464"/>
    <w:rsid w:val="002248C9"/>
    <w:rsid w:val="00232A66"/>
    <w:rsid w:val="002336E4"/>
    <w:rsid w:val="002363DC"/>
    <w:rsid w:val="0024651A"/>
    <w:rsid w:val="002527FB"/>
    <w:rsid w:val="00257CF3"/>
    <w:rsid w:val="00261279"/>
    <w:rsid w:val="00265D17"/>
    <w:rsid w:val="00273673"/>
    <w:rsid w:val="002766C7"/>
    <w:rsid w:val="00283701"/>
    <w:rsid w:val="00285C97"/>
    <w:rsid w:val="0028739C"/>
    <w:rsid w:val="00290ED4"/>
    <w:rsid w:val="00291D62"/>
    <w:rsid w:val="002A4DF7"/>
    <w:rsid w:val="002C0460"/>
    <w:rsid w:val="002C31F9"/>
    <w:rsid w:val="002C4029"/>
    <w:rsid w:val="002C73A7"/>
    <w:rsid w:val="002D25C6"/>
    <w:rsid w:val="002D3689"/>
    <w:rsid w:val="002E5437"/>
    <w:rsid w:val="002F28CF"/>
    <w:rsid w:val="002F39ED"/>
    <w:rsid w:val="002F4C84"/>
    <w:rsid w:val="00301E91"/>
    <w:rsid w:val="00306D8E"/>
    <w:rsid w:val="00311E03"/>
    <w:rsid w:val="003128D3"/>
    <w:rsid w:val="003237EB"/>
    <w:rsid w:val="00324B7C"/>
    <w:rsid w:val="00325FCD"/>
    <w:rsid w:val="00330607"/>
    <w:rsid w:val="003345DC"/>
    <w:rsid w:val="003356EB"/>
    <w:rsid w:val="00341CD3"/>
    <w:rsid w:val="003420A0"/>
    <w:rsid w:val="003420D3"/>
    <w:rsid w:val="00343834"/>
    <w:rsid w:val="0034673D"/>
    <w:rsid w:val="003472A1"/>
    <w:rsid w:val="00352333"/>
    <w:rsid w:val="00354456"/>
    <w:rsid w:val="00354502"/>
    <w:rsid w:val="003553A7"/>
    <w:rsid w:val="00361159"/>
    <w:rsid w:val="00362E47"/>
    <w:rsid w:val="00364F34"/>
    <w:rsid w:val="00366ED9"/>
    <w:rsid w:val="0036756F"/>
    <w:rsid w:val="00392358"/>
    <w:rsid w:val="00395AA1"/>
    <w:rsid w:val="003A322B"/>
    <w:rsid w:val="003B000A"/>
    <w:rsid w:val="003B3AEC"/>
    <w:rsid w:val="003B5126"/>
    <w:rsid w:val="003C0DEF"/>
    <w:rsid w:val="003C27DB"/>
    <w:rsid w:val="003C5DB8"/>
    <w:rsid w:val="003D4043"/>
    <w:rsid w:val="003D7B4D"/>
    <w:rsid w:val="003E37BB"/>
    <w:rsid w:val="003E56DF"/>
    <w:rsid w:val="003F284D"/>
    <w:rsid w:val="003F76D8"/>
    <w:rsid w:val="004039D4"/>
    <w:rsid w:val="004074E1"/>
    <w:rsid w:val="00410693"/>
    <w:rsid w:val="00413FCE"/>
    <w:rsid w:val="00415D61"/>
    <w:rsid w:val="004166B8"/>
    <w:rsid w:val="00421CFA"/>
    <w:rsid w:val="004367A6"/>
    <w:rsid w:val="004522F3"/>
    <w:rsid w:val="00454EA4"/>
    <w:rsid w:val="004579E1"/>
    <w:rsid w:val="00460D21"/>
    <w:rsid w:val="004658CA"/>
    <w:rsid w:val="00466B3A"/>
    <w:rsid w:val="004715BB"/>
    <w:rsid w:val="0048030B"/>
    <w:rsid w:val="00481415"/>
    <w:rsid w:val="00490F6A"/>
    <w:rsid w:val="00493F6E"/>
    <w:rsid w:val="004A019A"/>
    <w:rsid w:val="004A4C12"/>
    <w:rsid w:val="004A6020"/>
    <w:rsid w:val="004A6FBC"/>
    <w:rsid w:val="004B28A2"/>
    <w:rsid w:val="004B47D7"/>
    <w:rsid w:val="004C773C"/>
    <w:rsid w:val="004C7A8D"/>
    <w:rsid w:val="004D2F6A"/>
    <w:rsid w:val="004E13CC"/>
    <w:rsid w:val="004E2002"/>
    <w:rsid w:val="004E318E"/>
    <w:rsid w:val="004E3197"/>
    <w:rsid w:val="004F2E45"/>
    <w:rsid w:val="004F39BF"/>
    <w:rsid w:val="005010D2"/>
    <w:rsid w:val="00513BAE"/>
    <w:rsid w:val="005148C5"/>
    <w:rsid w:val="00515C25"/>
    <w:rsid w:val="00523DD7"/>
    <w:rsid w:val="00525CC5"/>
    <w:rsid w:val="005310E8"/>
    <w:rsid w:val="00536CC2"/>
    <w:rsid w:val="0054360F"/>
    <w:rsid w:val="00555AF9"/>
    <w:rsid w:val="00560829"/>
    <w:rsid w:val="00563456"/>
    <w:rsid w:val="0056521E"/>
    <w:rsid w:val="0056729F"/>
    <w:rsid w:val="00597FE3"/>
    <w:rsid w:val="005A2D32"/>
    <w:rsid w:val="005A3386"/>
    <w:rsid w:val="005A3F56"/>
    <w:rsid w:val="005A46A8"/>
    <w:rsid w:val="005A634C"/>
    <w:rsid w:val="005B37B6"/>
    <w:rsid w:val="005B43D0"/>
    <w:rsid w:val="005C2FB5"/>
    <w:rsid w:val="005C6ACA"/>
    <w:rsid w:val="005D78E3"/>
    <w:rsid w:val="005E79DF"/>
    <w:rsid w:val="005F1A4E"/>
    <w:rsid w:val="005F3F7C"/>
    <w:rsid w:val="005F733D"/>
    <w:rsid w:val="0060080A"/>
    <w:rsid w:val="0060550C"/>
    <w:rsid w:val="00613ACD"/>
    <w:rsid w:val="00614008"/>
    <w:rsid w:val="006202DC"/>
    <w:rsid w:val="006237ED"/>
    <w:rsid w:val="0063368B"/>
    <w:rsid w:val="00633E54"/>
    <w:rsid w:val="006375CC"/>
    <w:rsid w:val="00644590"/>
    <w:rsid w:val="00646766"/>
    <w:rsid w:val="00646E3C"/>
    <w:rsid w:val="006711D3"/>
    <w:rsid w:val="00671E62"/>
    <w:rsid w:val="006848DC"/>
    <w:rsid w:val="00685B1E"/>
    <w:rsid w:val="006A4663"/>
    <w:rsid w:val="006A6595"/>
    <w:rsid w:val="006A76CC"/>
    <w:rsid w:val="006B0923"/>
    <w:rsid w:val="006C02C9"/>
    <w:rsid w:val="006C2165"/>
    <w:rsid w:val="006C5801"/>
    <w:rsid w:val="006C6E51"/>
    <w:rsid w:val="006D0049"/>
    <w:rsid w:val="006D082B"/>
    <w:rsid w:val="006D09B7"/>
    <w:rsid w:val="006D5DB7"/>
    <w:rsid w:val="006D6D92"/>
    <w:rsid w:val="006D7EE9"/>
    <w:rsid w:val="006F433A"/>
    <w:rsid w:val="006F5595"/>
    <w:rsid w:val="006F5835"/>
    <w:rsid w:val="00701795"/>
    <w:rsid w:val="00702313"/>
    <w:rsid w:val="007147EC"/>
    <w:rsid w:val="00715BD5"/>
    <w:rsid w:val="00717858"/>
    <w:rsid w:val="007201F6"/>
    <w:rsid w:val="00720B68"/>
    <w:rsid w:val="007235DF"/>
    <w:rsid w:val="00732521"/>
    <w:rsid w:val="00733CDF"/>
    <w:rsid w:val="00742DB2"/>
    <w:rsid w:val="00744A26"/>
    <w:rsid w:val="00751AAB"/>
    <w:rsid w:val="00752E8E"/>
    <w:rsid w:val="00753471"/>
    <w:rsid w:val="00755596"/>
    <w:rsid w:val="007605FA"/>
    <w:rsid w:val="00763B4B"/>
    <w:rsid w:val="00764AD4"/>
    <w:rsid w:val="0077166A"/>
    <w:rsid w:val="007815FE"/>
    <w:rsid w:val="00793298"/>
    <w:rsid w:val="007A19AA"/>
    <w:rsid w:val="007A37B5"/>
    <w:rsid w:val="007B1037"/>
    <w:rsid w:val="007B20AB"/>
    <w:rsid w:val="007B4B0E"/>
    <w:rsid w:val="007B674F"/>
    <w:rsid w:val="007D2F80"/>
    <w:rsid w:val="007E268F"/>
    <w:rsid w:val="007E617E"/>
    <w:rsid w:val="007E6D5A"/>
    <w:rsid w:val="007F0600"/>
    <w:rsid w:val="007F68B8"/>
    <w:rsid w:val="0080093D"/>
    <w:rsid w:val="00801125"/>
    <w:rsid w:val="00810467"/>
    <w:rsid w:val="008119A4"/>
    <w:rsid w:val="0081518A"/>
    <w:rsid w:val="00815D22"/>
    <w:rsid w:val="0083617D"/>
    <w:rsid w:val="0083621B"/>
    <w:rsid w:val="00840D11"/>
    <w:rsid w:val="0084333D"/>
    <w:rsid w:val="00845548"/>
    <w:rsid w:val="008557A5"/>
    <w:rsid w:val="00857D00"/>
    <w:rsid w:val="00861EB5"/>
    <w:rsid w:val="00866766"/>
    <w:rsid w:val="00873581"/>
    <w:rsid w:val="00880EB1"/>
    <w:rsid w:val="0088762F"/>
    <w:rsid w:val="0089258A"/>
    <w:rsid w:val="008A3F6E"/>
    <w:rsid w:val="008A69BA"/>
    <w:rsid w:val="008B50FA"/>
    <w:rsid w:val="008B7B19"/>
    <w:rsid w:val="008C52A5"/>
    <w:rsid w:val="008D4A2C"/>
    <w:rsid w:val="008D7426"/>
    <w:rsid w:val="008D7806"/>
    <w:rsid w:val="008E019E"/>
    <w:rsid w:val="008E23F2"/>
    <w:rsid w:val="008E37C7"/>
    <w:rsid w:val="008E7DDF"/>
    <w:rsid w:val="008F08B7"/>
    <w:rsid w:val="008F53E4"/>
    <w:rsid w:val="008F6E8A"/>
    <w:rsid w:val="00900E4F"/>
    <w:rsid w:val="00902825"/>
    <w:rsid w:val="009036D6"/>
    <w:rsid w:val="00910579"/>
    <w:rsid w:val="00910908"/>
    <w:rsid w:val="00916663"/>
    <w:rsid w:val="0093470E"/>
    <w:rsid w:val="00936F0A"/>
    <w:rsid w:val="0094042B"/>
    <w:rsid w:val="009456D7"/>
    <w:rsid w:val="00951321"/>
    <w:rsid w:val="00961588"/>
    <w:rsid w:val="009634DA"/>
    <w:rsid w:val="00975C92"/>
    <w:rsid w:val="00975F56"/>
    <w:rsid w:val="00986F59"/>
    <w:rsid w:val="00992124"/>
    <w:rsid w:val="0099250F"/>
    <w:rsid w:val="00996DA8"/>
    <w:rsid w:val="00997152"/>
    <w:rsid w:val="009A59C4"/>
    <w:rsid w:val="009B2BD1"/>
    <w:rsid w:val="009B3158"/>
    <w:rsid w:val="009B40B8"/>
    <w:rsid w:val="009B544F"/>
    <w:rsid w:val="009C10C5"/>
    <w:rsid w:val="009C267F"/>
    <w:rsid w:val="009C56E7"/>
    <w:rsid w:val="009D2153"/>
    <w:rsid w:val="009E1D32"/>
    <w:rsid w:val="009E5783"/>
    <w:rsid w:val="009E58A9"/>
    <w:rsid w:val="009E77EB"/>
    <w:rsid w:val="009F4D7F"/>
    <w:rsid w:val="009F52D8"/>
    <w:rsid w:val="00A0005D"/>
    <w:rsid w:val="00A100AB"/>
    <w:rsid w:val="00A10703"/>
    <w:rsid w:val="00A1164B"/>
    <w:rsid w:val="00A139D6"/>
    <w:rsid w:val="00A14462"/>
    <w:rsid w:val="00A22D51"/>
    <w:rsid w:val="00A24170"/>
    <w:rsid w:val="00A31ACC"/>
    <w:rsid w:val="00A32FDA"/>
    <w:rsid w:val="00A450DC"/>
    <w:rsid w:val="00A47C5C"/>
    <w:rsid w:val="00A641C3"/>
    <w:rsid w:val="00A67CCB"/>
    <w:rsid w:val="00A85ED5"/>
    <w:rsid w:val="00A87757"/>
    <w:rsid w:val="00A92450"/>
    <w:rsid w:val="00A93E29"/>
    <w:rsid w:val="00A97B8C"/>
    <w:rsid w:val="00AA6C53"/>
    <w:rsid w:val="00AB0660"/>
    <w:rsid w:val="00AB09F1"/>
    <w:rsid w:val="00AB7C52"/>
    <w:rsid w:val="00AC0175"/>
    <w:rsid w:val="00AC3038"/>
    <w:rsid w:val="00AD0735"/>
    <w:rsid w:val="00AD463C"/>
    <w:rsid w:val="00AE12C7"/>
    <w:rsid w:val="00AE5D66"/>
    <w:rsid w:val="00B017EA"/>
    <w:rsid w:val="00B20CF2"/>
    <w:rsid w:val="00B21096"/>
    <w:rsid w:val="00B24912"/>
    <w:rsid w:val="00B276E4"/>
    <w:rsid w:val="00B33676"/>
    <w:rsid w:val="00B356E2"/>
    <w:rsid w:val="00B35C72"/>
    <w:rsid w:val="00B40DD9"/>
    <w:rsid w:val="00B44AED"/>
    <w:rsid w:val="00B45758"/>
    <w:rsid w:val="00B62F51"/>
    <w:rsid w:val="00B95075"/>
    <w:rsid w:val="00BA0C65"/>
    <w:rsid w:val="00BA4A31"/>
    <w:rsid w:val="00BB1758"/>
    <w:rsid w:val="00BB1BB6"/>
    <w:rsid w:val="00BC0876"/>
    <w:rsid w:val="00BC5B4C"/>
    <w:rsid w:val="00BD1A3E"/>
    <w:rsid w:val="00BD6354"/>
    <w:rsid w:val="00BE71EE"/>
    <w:rsid w:val="00BF0C27"/>
    <w:rsid w:val="00BF614C"/>
    <w:rsid w:val="00C03E76"/>
    <w:rsid w:val="00C04393"/>
    <w:rsid w:val="00C1583F"/>
    <w:rsid w:val="00C20FB0"/>
    <w:rsid w:val="00C24327"/>
    <w:rsid w:val="00C329C7"/>
    <w:rsid w:val="00C37A41"/>
    <w:rsid w:val="00C4013C"/>
    <w:rsid w:val="00C437AE"/>
    <w:rsid w:val="00C46640"/>
    <w:rsid w:val="00C54B02"/>
    <w:rsid w:val="00C60676"/>
    <w:rsid w:val="00C656DA"/>
    <w:rsid w:val="00C66572"/>
    <w:rsid w:val="00C67AD8"/>
    <w:rsid w:val="00C73E8A"/>
    <w:rsid w:val="00C877C8"/>
    <w:rsid w:val="00C93650"/>
    <w:rsid w:val="00C94974"/>
    <w:rsid w:val="00C94AFC"/>
    <w:rsid w:val="00C962C4"/>
    <w:rsid w:val="00CA77E1"/>
    <w:rsid w:val="00CB07FA"/>
    <w:rsid w:val="00CB6C5F"/>
    <w:rsid w:val="00CC03F0"/>
    <w:rsid w:val="00CC74C6"/>
    <w:rsid w:val="00CD593A"/>
    <w:rsid w:val="00CE12A0"/>
    <w:rsid w:val="00CE131F"/>
    <w:rsid w:val="00CE6BA8"/>
    <w:rsid w:val="00CE7AFA"/>
    <w:rsid w:val="00D00DCF"/>
    <w:rsid w:val="00D04595"/>
    <w:rsid w:val="00D05B5C"/>
    <w:rsid w:val="00D10684"/>
    <w:rsid w:val="00D11FC5"/>
    <w:rsid w:val="00D12423"/>
    <w:rsid w:val="00D343D2"/>
    <w:rsid w:val="00D54202"/>
    <w:rsid w:val="00D55F89"/>
    <w:rsid w:val="00D56B74"/>
    <w:rsid w:val="00D56C7D"/>
    <w:rsid w:val="00D57A47"/>
    <w:rsid w:val="00D57A4F"/>
    <w:rsid w:val="00D64003"/>
    <w:rsid w:val="00D64218"/>
    <w:rsid w:val="00D65B27"/>
    <w:rsid w:val="00D75149"/>
    <w:rsid w:val="00D805E7"/>
    <w:rsid w:val="00D84C35"/>
    <w:rsid w:val="00D86B47"/>
    <w:rsid w:val="00D87F99"/>
    <w:rsid w:val="00D90EB7"/>
    <w:rsid w:val="00D97C90"/>
    <w:rsid w:val="00DB4769"/>
    <w:rsid w:val="00DC0FED"/>
    <w:rsid w:val="00DC3D6B"/>
    <w:rsid w:val="00DE406A"/>
    <w:rsid w:val="00DE7D7A"/>
    <w:rsid w:val="00DF2FD3"/>
    <w:rsid w:val="00DF38EE"/>
    <w:rsid w:val="00E00E4F"/>
    <w:rsid w:val="00E0351B"/>
    <w:rsid w:val="00E03769"/>
    <w:rsid w:val="00E06232"/>
    <w:rsid w:val="00E10E17"/>
    <w:rsid w:val="00E12559"/>
    <w:rsid w:val="00E12F31"/>
    <w:rsid w:val="00E146D4"/>
    <w:rsid w:val="00E366E4"/>
    <w:rsid w:val="00E402FA"/>
    <w:rsid w:val="00E459AF"/>
    <w:rsid w:val="00E51864"/>
    <w:rsid w:val="00E73395"/>
    <w:rsid w:val="00E747BF"/>
    <w:rsid w:val="00E86EF5"/>
    <w:rsid w:val="00E87603"/>
    <w:rsid w:val="00E91F4D"/>
    <w:rsid w:val="00E92E27"/>
    <w:rsid w:val="00E9335F"/>
    <w:rsid w:val="00E95737"/>
    <w:rsid w:val="00EA1D9F"/>
    <w:rsid w:val="00EA2DC8"/>
    <w:rsid w:val="00EB64AC"/>
    <w:rsid w:val="00EC6116"/>
    <w:rsid w:val="00EC72E8"/>
    <w:rsid w:val="00ED18BF"/>
    <w:rsid w:val="00ED50D9"/>
    <w:rsid w:val="00EE3AA5"/>
    <w:rsid w:val="00EF5035"/>
    <w:rsid w:val="00EF53A8"/>
    <w:rsid w:val="00EF579F"/>
    <w:rsid w:val="00EF72BC"/>
    <w:rsid w:val="00F00610"/>
    <w:rsid w:val="00F14642"/>
    <w:rsid w:val="00F15FBC"/>
    <w:rsid w:val="00F21F24"/>
    <w:rsid w:val="00F302F5"/>
    <w:rsid w:val="00F44123"/>
    <w:rsid w:val="00F47CA4"/>
    <w:rsid w:val="00F539B3"/>
    <w:rsid w:val="00F63AE0"/>
    <w:rsid w:val="00F665A2"/>
    <w:rsid w:val="00F66665"/>
    <w:rsid w:val="00F704C2"/>
    <w:rsid w:val="00F70AC7"/>
    <w:rsid w:val="00F83AA3"/>
    <w:rsid w:val="00F95D1A"/>
    <w:rsid w:val="00FA3CD6"/>
    <w:rsid w:val="00FC5AC6"/>
    <w:rsid w:val="00FC5F6A"/>
    <w:rsid w:val="00FD142B"/>
    <w:rsid w:val="00FD1F46"/>
    <w:rsid w:val="00FE04BD"/>
    <w:rsid w:val="00FE05E3"/>
    <w:rsid w:val="00FE2881"/>
    <w:rsid w:val="00FE3F3E"/>
    <w:rsid w:val="00FE5F8F"/>
    <w:rsid w:val="00FF045A"/>
    <w:rsid w:val="00FF5CE7"/>
    <w:rsid w:val="00FF75BA"/>
    <w:rsid w:val="00FF77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97C90"/>
  </w:style>
  <w:style w:type="paragraph" w:styleId="BalloonText">
    <w:name w:val="Balloon Text"/>
    <w:basedOn w:val="Normal"/>
    <w:link w:val="BalloonTextChar"/>
    <w:rsid w:val="00951321"/>
    <w:rPr>
      <w:rFonts w:ascii="Tahoma" w:hAnsi="Tahoma" w:cs="Tahoma"/>
      <w:sz w:val="16"/>
      <w:szCs w:val="16"/>
    </w:rPr>
  </w:style>
  <w:style w:type="character" w:customStyle="1" w:styleId="BalloonTextChar">
    <w:name w:val="Balloon Text Char"/>
    <w:link w:val="BalloonText"/>
    <w:rsid w:val="00951321"/>
    <w:rPr>
      <w:rFonts w:ascii="Tahoma" w:hAnsi="Tahoma" w:cs="Tahoma"/>
      <w:sz w:val="16"/>
      <w:szCs w:val="16"/>
      <w:lang w:val="el-GR"/>
    </w:rPr>
  </w:style>
  <w:style w:type="paragraph" w:styleId="ListParagraph">
    <w:name w:val="List Paragraph"/>
    <w:basedOn w:val="Normal"/>
    <w:uiPriority w:val="34"/>
    <w:qFormat/>
    <w:rsid w:val="00A31ACC"/>
    <w:pPr>
      <w:ind w:left="720"/>
    </w:pPr>
  </w:style>
  <w:style w:type="character" w:styleId="Hyperlink">
    <w:name w:val="Hyperlink"/>
    <w:uiPriority w:val="99"/>
    <w:unhideWhenUsed/>
    <w:rsid w:val="00A31ACC"/>
    <w:rPr>
      <w:color w:val="0000FF"/>
      <w:u w:val="single"/>
    </w:rPr>
  </w:style>
  <w:style w:type="paragraph" w:styleId="FootnoteText">
    <w:name w:val="footnote text"/>
    <w:basedOn w:val="Normal"/>
    <w:link w:val="FootnoteTextChar"/>
    <w:rsid w:val="00A31ACC"/>
    <w:rPr>
      <w:sz w:val="20"/>
      <w:szCs w:val="20"/>
    </w:rPr>
  </w:style>
  <w:style w:type="character" w:customStyle="1" w:styleId="FootnoteTextChar">
    <w:name w:val="Footnote Text Char"/>
    <w:link w:val="FootnoteText"/>
    <w:rsid w:val="00A31ACC"/>
    <w:rPr>
      <w:lang w:val="el-GR"/>
    </w:rPr>
  </w:style>
  <w:style w:type="character" w:styleId="FootnoteReference">
    <w:name w:val="footnote reference"/>
    <w:rsid w:val="00A31ACC"/>
    <w:rPr>
      <w:vertAlign w:val="superscript"/>
    </w:rPr>
  </w:style>
  <w:style w:type="character" w:customStyle="1" w:styleId="atn">
    <w:name w:val="atn"/>
    <w:basedOn w:val="DefaultParagraphFont"/>
    <w:rsid w:val="00C93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97C90"/>
  </w:style>
  <w:style w:type="paragraph" w:styleId="BalloonText">
    <w:name w:val="Balloon Text"/>
    <w:basedOn w:val="Normal"/>
    <w:link w:val="BalloonTextChar"/>
    <w:rsid w:val="00951321"/>
    <w:rPr>
      <w:rFonts w:ascii="Tahoma" w:hAnsi="Tahoma" w:cs="Tahoma"/>
      <w:sz w:val="16"/>
      <w:szCs w:val="16"/>
    </w:rPr>
  </w:style>
  <w:style w:type="character" w:customStyle="1" w:styleId="BalloonTextChar">
    <w:name w:val="Balloon Text Char"/>
    <w:link w:val="BalloonText"/>
    <w:rsid w:val="00951321"/>
    <w:rPr>
      <w:rFonts w:ascii="Tahoma" w:hAnsi="Tahoma" w:cs="Tahoma"/>
      <w:sz w:val="16"/>
      <w:szCs w:val="16"/>
      <w:lang w:val="el-GR"/>
    </w:rPr>
  </w:style>
  <w:style w:type="paragraph" w:styleId="ListParagraph">
    <w:name w:val="List Paragraph"/>
    <w:basedOn w:val="Normal"/>
    <w:uiPriority w:val="34"/>
    <w:qFormat/>
    <w:rsid w:val="00A31ACC"/>
    <w:pPr>
      <w:ind w:left="720"/>
    </w:pPr>
  </w:style>
  <w:style w:type="character" w:styleId="Hyperlink">
    <w:name w:val="Hyperlink"/>
    <w:uiPriority w:val="99"/>
    <w:unhideWhenUsed/>
    <w:rsid w:val="00A31ACC"/>
    <w:rPr>
      <w:color w:val="0000FF"/>
      <w:u w:val="single"/>
    </w:rPr>
  </w:style>
  <w:style w:type="paragraph" w:styleId="FootnoteText">
    <w:name w:val="footnote text"/>
    <w:basedOn w:val="Normal"/>
    <w:link w:val="FootnoteTextChar"/>
    <w:rsid w:val="00A31ACC"/>
    <w:rPr>
      <w:sz w:val="20"/>
      <w:szCs w:val="20"/>
    </w:rPr>
  </w:style>
  <w:style w:type="character" w:customStyle="1" w:styleId="FootnoteTextChar">
    <w:name w:val="Footnote Text Char"/>
    <w:link w:val="FootnoteText"/>
    <w:rsid w:val="00A31ACC"/>
    <w:rPr>
      <w:lang w:val="el-GR"/>
    </w:rPr>
  </w:style>
  <w:style w:type="character" w:styleId="FootnoteReference">
    <w:name w:val="footnote reference"/>
    <w:rsid w:val="00A31ACC"/>
    <w:rPr>
      <w:vertAlign w:val="superscript"/>
    </w:rPr>
  </w:style>
  <w:style w:type="character" w:customStyle="1" w:styleId="atn">
    <w:name w:val="atn"/>
    <w:basedOn w:val="DefaultParagraphFont"/>
    <w:rsid w:val="00C9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4683">
      <w:bodyDiv w:val="1"/>
      <w:marLeft w:val="0"/>
      <w:marRight w:val="0"/>
      <w:marTop w:val="0"/>
      <w:marBottom w:val="0"/>
      <w:divBdr>
        <w:top w:val="none" w:sz="0" w:space="0" w:color="auto"/>
        <w:left w:val="none" w:sz="0" w:space="0" w:color="auto"/>
        <w:bottom w:val="none" w:sz="0" w:space="0" w:color="auto"/>
        <w:right w:val="none" w:sz="0" w:space="0" w:color="auto"/>
      </w:divBdr>
    </w:div>
    <w:div w:id="1138107360">
      <w:bodyDiv w:val="1"/>
      <w:marLeft w:val="0"/>
      <w:marRight w:val="0"/>
      <w:marTop w:val="0"/>
      <w:marBottom w:val="0"/>
      <w:divBdr>
        <w:top w:val="none" w:sz="0" w:space="0" w:color="auto"/>
        <w:left w:val="none" w:sz="0" w:space="0" w:color="auto"/>
        <w:bottom w:val="none" w:sz="0" w:space="0" w:color="auto"/>
        <w:right w:val="none" w:sz="0" w:space="0" w:color="auto"/>
      </w:divBdr>
    </w:div>
    <w:div w:id="1183282026">
      <w:bodyDiv w:val="1"/>
      <w:marLeft w:val="0"/>
      <w:marRight w:val="0"/>
      <w:marTop w:val="0"/>
      <w:marBottom w:val="0"/>
      <w:divBdr>
        <w:top w:val="none" w:sz="0" w:space="0" w:color="auto"/>
        <w:left w:val="none" w:sz="0" w:space="0" w:color="auto"/>
        <w:bottom w:val="none" w:sz="0" w:space="0" w:color="auto"/>
        <w:right w:val="none" w:sz="0" w:space="0" w:color="auto"/>
      </w:divBdr>
    </w:div>
    <w:div w:id="1562667482">
      <w:bodyDiv w:val="1"/>
      <w:marLeft w:val="0"/>
      <w:marRight w:val="0"/>
      <w:marTop w:val="0"/>
      <w:marBottom w:val="0"/>
      <w:divBdr>
        <w:top w:val="none" w:sz="0" w:space="0" w:color="auto"/>
        <w:left w:val="none" w:sz="0" w:space="0" w:color="auto"/>
        <w:bottom w:val="none" w:sz="0" w:space="0" w:color="auto"/>
        <w:right w:val="none" w:sz="0" w:space="0" w:color="auto"/>
      </w:divBdr>
    </w:div>
    <w:div w:id="19991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03856-3B2A-4CFB-824C-96D1E912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1372</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Το Τμήμα Ερευνών της Eurobank, στο πλαίσιο μελετών για τη διατηρησιμότητα του ελληνικού χρέος, στο πρόσφατο δελτίο με τίτλο ‘A closer look at public debt service costs and potential strategies to improve sovereign solvency’ εξετάζει σε λεπτομέρεια τη διά</vt:lpstr>
    </vt:vector>
  </TitlesOfParts>
  <Company>N/A</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Τμήμα Ερευνών της Eurobank, στο πλαίσιο μελετών για τη διατηρησιμότητα του ελληνικού χρέος, στο πρόσφατο δελτίο με τίτλο ‘A closer look at public debt service costs and potential strategies to improve sovereign solvency’ εξετάζει σε λεπτομέρεια τη διά</dc:title>
  <dc:creator>fokion.karavias</dc:creator>
  <cp:lastModifiedBy>Kampourakis Ioannis</cp:lastModifiedBy>
  <cp:revision>2</cp:revision>
  <cp:lastPrinted>2016-10-18T09:39:00Z</cp:lastPrinted>
  <dcterms:created xsi:type="dcterms:W3CDTF">2016-10-18T12:37:00Z</dcterms:created>
  <dcterms:modified xsi:type="dcterms:W3CDTF">2016-10-18T12:37:00Z</dcterms:modified>
</cp:coreProperties>
</file>